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BF72AD" w:rsidTr="00C86261">
        <w:trPr>
          <w:cantSplit/>
          <w:trHeight w:val="1983"/>
        </w:trPr>
        <w:tc>
          <w:tcPr>
            <w:tcW w:w="4534" w:type="dxa"/>
          </w:tcPr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BF72AD" w:rsidRDefault="00BF72AD" w:rsidP="00C86261">
            <w:pPr>
              <w:ind w:left="175" w:right="176"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54380" cy="1005840"/>
                  <wp:effectExtent l="19050" t="0" r="7620" b="0"/>
                  <wp:docPr id="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ГОРОДСКОЙ СОВЕТ</w:t>
            </w:r>
          </w:p>
          <w:p w:rsidR="00BF72AD" w:rsidRDefault="00BF72AD" w:rsidP="00C862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     АНЕНИЙ НОЙ</w:t>
            </w:r>
          </w:p>
        </w:tc>
      </w:tr>
      <w:tr w:rsidR="00BF72AD" w:rsidTr="00C86261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BF72AD" w:rsidRDefault="00BF72AD" w:rsidP="00C86261">
            <w:pPr>
              <w:pStyle w:val="1"/>
              <w:tabs>
                <w:tab w:val="left" w:pos="-392"/>
              </w:tabs>
              <w:spacing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BF72AD" w:rsidRDefault="00BF72AD" w:rsidP="00C86261">
            <w:pPr>
              <w:tabs>
                <w:tab w:val="left" w:pos="-67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</w:t>
            </w:r>
            <w:r>
              <w:rPr>
                <w:sz w:val="18"/>
                <w:szCs w:val="18"/>
                <w:lang w:val="zh-CN" w:eastAsia="zh-CN"/>
              </w:rPr>
              <w:t xml:space="preserve"> tel/fax 026522108, </w:t>
            </w:r>
            <w:r>
              <w:rPr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F72AD" w:rsidRDefault="00BF72AD" w:rsidP="00C862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74" w:type="dxa"/>
            <w:gridSpan w:val="2"/>
            <w:hideMark/>
          </w:tcPr>
          <w:p w:rsidR="00BF72AD" w:rsidRDefault="00BF72AD" w:rsidP="00C86261">
            <w:pPr>
              <w:pStyle w:val="1"/>
              <w:spacing w:line="276" w:lineRule="auto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</w:p>
          <w:p w:rsidR="00BF72AD" w:rsidRDefault="00BF72AD" w:rsidP="00C86261">
            <w:pPr>
              <w:ind w:left="-391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 w:eastAsia="zh-CN"/>
              </w:rPr>
              <w:t xml:space="preserve"> тел/факс </w:t>
            </w:r>
            <w:r>
              <w:rPr>
                <w:sz w:val="18"/>
                <w:szCs w:val="18"/>
              </w:rPr>
              <w:t>026522108,</w:t>
            </w:r>
            <w:proofErr w:type="spellStart"/>
            <w:r>
              <w:rPr>
                <w:sz w:val="18"/>
                <w:szCs w:val="18"/>
                <w:lang w:val="en-US"/>
              </w:rPr>
              <w:t>consiliulorasenesc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com</w:t>
            </w:r>
          </w:p>
        </w:tc>
      </w:tr>
    </w:tbl>
    <w:p w:rsidR="00BF72AD" w:rsidRPr="00BB0B66" w:rsidRDefault="003E7D10" w:rsidP="00BF72AD">
      <w:pPr>
        <w:jc w:val="center"/>
        <w:rPr>
          <w:b/>
          <w:lang w:val="ro-RO" w:eastAsia="zh-CN"/>
        </w:rPr>
      </w:pPr>
      <w:r>
        <w:rPr>
          <w:rFonts w:eastAsiaTheme="minorEastAsia"/>
          <w:szCs w:val="22"/>
        </w:rPr>
        <w:pict>
          <v:line id="_x0000_s1026" style="position:absolute;left:0;text-align:left;z-index:251660288;mso-position-horizontal-relative:text;mso-position-vertical-relative:text" from="-19.95pt,6.15pt" to="499.65pt,6.1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  <w:r w:rsidR="00BF72AD" w:rsidRPr="009A5628">
        <w:rPr>
          <w:b/>
        </w:rPr>
        <w:t xml:space="preserve">                                                 </w:t>
      </w:r>
      <w:r w:rsidR="00BF72AD">
        <w:rPr>
          <w:b/>
          <w:lang w:val="ro-RO"/>
        </w:rPr>
        <w:t xml:space="preserve">                                      </w:t>
      </w:r>
      <w:r w:rsidR="00BF72AD" w:rsidRPr="009A5628">
        <w:rPr>
          <w:b/>
        </w:rPr>
        <w:t xml:space="preserve">        </w:t>
      </w:r>
      <w:r w:rsidR="00BF72AD" w:rsidRPr="009A5628">
        <w:rPr>
          <w:b/>
          <w:sz w:val="24"/>
          <w:szCs w:val="24"/>
          <w:u w:val="single"/>
        </w:rPr>
        <w:t xml:space="preserve">                                                                         </w:t>
      </w:r>
      <w:r w:rsidR="00BF72AD">
        <w:rPr>
          <w:b/>
          <w:sz w:val="24"/>
          <w:szCs w:val="24"/>
          <w:u w:val="single"/>
          <w:lang w:val="ro-RO"/>
        </w:rPr>
        <w:t xml:space="preserve">           </w:t>
      </w:r>
    </w:p>
    <w:p w:rsidR="000C19A9" w:rsidRDefault="00BF72AD" w:rsidP="00BF72A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</w:t>
      </w:r>
    </w:p>
    <w:p w:rsidR="00BF72AD" w:rsidRDefault="00BF72AD" w:rsidP="00BF72A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</w:t>
      </w:r>
    </w:p>
    <w:p w:rsidR="00BF72AD" w:rsidRPr="003E7D10" w:rsidRDefault="00BF72AD" w:rsidP="00BF72AD">
      <w:pPr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</w:t>
      </w:r>
      <w:r w:rsidR="003A6DA9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 xml:space="preserve">    </w:t>
      </w:r>
      <w:r w:rsidR="00CB65AE">
        <w:rPr>
          <w:b/>
          <w:sz w:val="24"/>
          <w:szCs w:val="24"/>
          <w:lang w:val="ro-RO"/>
        </w:rPr>
        <w:t>DECIZIE nr.</w:t>
      </w:r>
      <w:r w:rsidR="00AB50BE">
        <w:rPr>
          <w:b/>
          <w:sz w:val="24"/>
          <w:szCs w:val="24"/>
          <w:lang w:val="ro-RO"/>
        </w:rPr>
        <w:t>5</w:t>
      </w:r>
      <w:r w:rsidR="00290EE8">
        <w:rPr>
          <w:b/>
          <w:sz w:val="24"/>
          <w:szCs w:val="24"/>
          <w:lang w:val="ro-RO"/>
        </w:rPr>
        <w:t>/</w:t>
      </w:r>
      <w:r w:rsidR="00FF55A7">
        <w:rPr>
          <w:b/>
          <w:sz w:val="24"/>
          <w:szCs w:val="24"/>
          <w:lang w:val="ro-RO"/>
        </w:rPr>
        <w:t xml:space="preserve">                                 </w:t>
      </w:r>
      <w:r w:rsidR="00CB65AE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PROIECT</w:t>
      </w:r>
      <w:r w:rsidR="00290EE8" w:rsidRPr="00C51D56">
        <w:rPr>
          <w:b/>
          <w:sz w:val="24"/>
          <w:szCs w:val="24"/>
          <w:lang w:val="en-US"/>
        </w:rPr>
        <w:t xml:space="preserve"> </w:t>
      </w:r>
      <w:r w:rsidR="003E7D10">
        <w:rPr>
          <w:b/>
          <w:sz w:val="24"/>
          <w:szCs w:val="24"/>
          <w:lang w:val="ro-RO"/>
        </w:rPr>
        <w:t>nr. 1</w:t>
      </w:r>
      <w:bookmarkStart w:id="0" w:name="_GoBack"/>
      <w:bookmarkEnd w:id="0"/>
      <w:r>
        <w:rPr>
          <w:b/>
          <w:sz w:val="24"/>
          <w:szCs w:val="24"/>
          <w:lang w:val="ro-RO"/>
        </w:rPr>
        <w:t xml:space="preserve">           </w:t>
      </w:r>
    </w:p>
    <w:p w:rsidR="00BF72AD" w:rsidRDefault="00BF72AD" w:rsidP="00BF72A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ro-RO"/>
        </w:rPr>
        <w:t xml:space="preserve">                     </w:t>
      </w:r>
      <w:r w:rsidR="00AB6CA6">
        <w:rPr>
          <w:b/>
          <w:sz w:val="24"/>
          <w:szCs w:val="24"/>
          <w:lang w:val="ro-RO"/>
        </w:rPr>
        <w:t xml:space="preserve">                      </w:t>
      </w:r>
      <w:r w:rsidR="003A6DA9">
        <w:rPr>
          <w:b/>
          <w:sz w:val="24"/>
          <w:szCs w:val="24"/>
          <w:lang w:val="ro-RO"/>
        </w:rPr>
        <w:t xml:space="preserve">  </w:t>
      </w:r>
      <w:r w:rsidR="000C19A9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  din </w:t>
      </w:r>
      <w:r w:rsidR="00CB65AE">
        <w:rPr>
          <w:b/>
          <w:sz w:val="24"/>
          <w:szCs w:val="24"/>
          <w:lang w:val="en-US"/>
        </w:rPr>
        <w:t xml:space="preserve"> </w:t>
      </w:r>
      <w:r w:rsidR="00161E32">
        <w:rPr>
          <w:b/>
          <w:sz w:val="24"/>
          <w:szCs w:val="24"/>
          <w:lang w:val="en-US"/>
        </w:rPr>
        <w:t>28</w:t>
      </w:r>
      <w:r w:rsidR="003A6DA9">
        <w:rPr>
          <w:b/>
          <w:sz w:val="24"/>
          <w:szCs w:val="24"/>
          <w:lang w:val="en-US"/>
        </w:rPr>
        <w:t xml:space="preserve">    </w:t>
      </w:r>
      <w:proofErr w:type="spellStart"/>
      <w:r w:rsidR="003A6DA9">
        <w:rPr>
          <w:b/>
          <w:sz w:val="24"/>
          <w:szCs w:val="24"/>
          <w:lang w:val="en-US"/>
        </w:rPr>
        <w:t>mai</w:t>
      </w:r>
      <w:proofErr w:type="spellEnd"/>
      <w:r w:rsidR="0094647A">
        <w:rPr>
          <w:b/>
          <w:sz w:val="24"/>
          <w:szCs w:val="24"/>
          <w:lang w:val="en-US"/>
        </w:rPr>
        <w:t xml:space="preserve">    2026</w:t>
      </w:r>
    </w:p>
    <w:p w:rsidR="000C19A9" w:rsidRDefault="003A6DA9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</w:p>
    <w:p w:rsidR="00BF72AD" w:rsidRDefault="00BF72AD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Cu privire la modificarea şi completarea 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bugetului primăriei or.  Anenii Noi</w:t>
      </w:r>
    </w:p>
    <w:p w:rsidR="00BF72AD" w:rsidRDefault="0094647A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  anul 2026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</w:p>
    <w:p w:rsidR="00BF72AD" w:rsidRDefault="00BF72AD" w:rsidP="00BF72A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 xml:space="preserve">    În temeiul Ordinului Ministerului Finanţelor nr. 124  din 21.12.2023 cu privire la aprobarea Setului metodologic privind elaborarea, aprobarea şi modificarea bugetului; în conformitate cu prevederile Legii nr.181/2014 finanţelor publice şi responsabilităţii bugetar-fiscale; Legii nr.397/2003 despre finanţele publice locale; art.14, alin.2 lit.n) al Legii nr.436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  <w:lang w:val="ro-RO"/>
        </w:rPr>
        <w:t xml:space="preserve">2006 privind administraţia publică locală cu modificările şi completările ulterioare; Legii nr.100/2017 privind actele normative cu modificările şi completările ulterioare; având avizele comisiilor de specialitate, Consiliul orăşenesc Anenii Noi, </w:t>
      </w:r>
      <w:r>
        <w:rPr>
          <w:b/>
          <w:sz w:val="24"/>
          <w:szCs w:val="24"/>
          <w:lang w:val="ro-RO"/>
        </w:rPr>
        <w:t xml:space="preserve">  </w:t>
      </w:r>
    </w:p>
    <w:p w:rsidR="00BF72AD" w:rsidRPr="0025348D" w:rsidRDefault="00BF72AD" w:rsidP="00BF72A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DECIDE: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</w:p>
    <w:p w:rsidR="000458C1" w:rsidRDefault="00581A75" w:rsidP="00666C57">
      <w:pPr>
        <w:ind w:left="284"/>
        <w:rPr>
          <w:color w:val="262626"/>
          <w:lang w:val="it-IT"/>
        </w:rPr>
      </w:pPr>
      <w:r>
        <w:rPr>
          <w:sz w:val="24"/>
          <w:szCs w:val="24"/>
          <w:lang w:val="en-US"/>
        </w:rPr>
        <w:t xml:space="preserve">      </w:t>
      </w:r>
      <w:r w:rsidR="00161E32">
        <w:rPr>
          <w:b/>
          <w:sz w:val="24"/>
          <w:szCs w:val="24"/>
          <w:lang w:val="en-US"/>
        </w:rPr>
        <w:t>1</w:t>
      </w:r>
      <w:r w:rsidRPr="00581A75">
        <w:rPr>
          <w:b/>
          <w:sz w:val="24"/>
          <w:szCs w:val="24"/>
          <w:lang w:val="en-US"/>
        </w:rPr>
        <w:t>.</w:t>
      </w:r>
      <w:r w:rsidRPr="009E25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majorează</w:t>
      </w:r>
      <w:proofErr w:type="spellEnd"/>
      <w:r w:rsidR="00161E32">
        <w:rPr>
          <w:sz w:val="24"/>
          <w:szCs w:val="24"/>
          <w:lang w:val="en-US"/>
        </w:rPr>
        <w:t xml:space="preserve"> cu 167500</w:t>
      </w:r>
      <w:r w:rsidRPr="007E4D1C">
        <w:rPr>
          <w:sz w:val="24"/>
          <w:szCs w:val="24"/>
          <w:lang w:val="en-US"/>
        </w:rPr>
        <w:t xml:space="preserve"> lei </w:t>
      </w:r>
      <w:proofErr w:type="spellStart"/>
      <w:r w:rsidRPr="007E4D1C">
        <w:rPr>
          <w:sz w:val="24"/>
          <w:szCs w:val="24"/>
          <w:lang w:val="en-US"/>
        </w:rPr>
        <w:t>suma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veniturilor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bugetului</w:t>
      </w:r>
      <w:proofErr w:type="spellEnd"/>
      <w:r w:rsidRPr="007E4D1C">
        <w:rPr>
          <w:sz w:val="24"/>
          <w:szCs w:val="24"/>
          <w:lang w:val="en-US"/>
        </w:rPr>
        <w:t xml:space="preserve"> local </w:t>
      </w:r>
      <w:proofErr w:type="spellStart"/>
      <w:r w:rsidRPr="007E4D1C">
        <w:rPr>
          <w:sz w:val="24"/>
          <w:szCs w:val="24"/>
          <w:lang w:val="en-US"/>
        </w:rPr>
        <w:t>pe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anul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r w:rsidR="003C1C82">
        <w:rPr>
          <w:sz w:val="24"/>
          <w:szCs w:val="24"/>
          <w:lang w:val="en-US"/>
        </w:rPr>
        <w:t xml:space="preserve"> 2026</w:t>
      </w:r>
      <w:r>
        <w:rPr>
          <w:sz w:val="24"/>
          <w:szCs w:val="24"/>
          <w:lang w:val="en-US"/>
        </w:rPr>
        <w:t xml:space="preserve"> </w:t>
      </w:r>
      <w:r w:rsidR="003C1C82">
        <w:rPr>
          <w:sz w:val="24"/>
          <w:szCs w:val="24"/>
          <w:lang w:val="en-US"/>
        </w:rPr>
        <w:t xml:space="preserve"> la ECO 1442</w:t>
      </w:r>
      <w:r w:rsidRPr="007E4D1C">
        <w:rPr>
          <w:sz w:val="24"/>
          <w:szCs w:val="24"/>
          <w:lang w:val="en-US"/>
        </w:rPr>
        <w:t>14 “</w:t>
      </w:r>
      <w:proofErr w:type="spellStart"/>
      <w:r w:rsidRPr="007E4D1C">
        <w:rPr>
          <w:sz w:val="24"/>
          <w:szCs w:val="24"/>
          <w:lang w:val="en-US"/>
        </w:rPr>
        <w:t>Donaţii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vol</w:t>
      </w:r>
      <w:r w:rsidR="00666C57">
        <w:rPr>
          <w:sz w:val="24"/>
          <w:szCs w:val="24"/>
          <w:lang w:val="en-US"/>
        </w:rPr>
        <w:t>untare</w:t>
      </w:r>
      <w:proofErr w:type="spellEnd"/>
      <w:r w:rsidR="00666C57">
        <w:rPr>
          <w:sz w:val="24"/>
          <w:szCs w:val="24"/>
          <w:lang w:val="en-US"/>
        </w:rPr>
        <w:t xml:space="preserve"> </w:t>
      </w:r>
      <w:proofErr w:type="spellStart"/>
      <w:r w:rsidR="00666C57">
        <w:rPr>
          <w:sz w:val="24"/>
          <w:szCs w:val="24"/>
          <w:lang w:val="en-US"/>
        </w:rPr>
        <w:t>pentru</w:t>
      </w:r>
      <w:proofErr w:type="spellEnd"/>
      <w:r w:rsidR="00666C57">
        <w:rPr>
          <w:sz w:val="24"/>
          <w:szCs w:val="24"/>
          <w:lang w:val="en-US"/>
        </w:rPr>
        <w:t xml:space="preserve"> </w:t>
      </w:r>
      <w:proofErr w:type="spellStart"/>
      <w:r w:rsidR="00666C57">
        <w:rPr>
          <w:sz w:val="24"/>
          <w:szCs w:val="24"/>
          <w:lang w:val="en-US"/>
        </w:rPr>
        <w:t>cheltuieli</w:t>
      </w:r>
      <w:proofErr w:type="spellEnd"/>
      <w:r w:rsidR="00666C57">
        <w:rPr>
          <w:sz w:val="24"/>
          <w:szCs w:val="24"/>
          <w:lang w:val="en-US"/>
        </w:rPr>
        <w:t xml:space="preserve"> </w:t>
      </w:r>
      <w:proofErr w:type="spellStart"/>
      <w:r w:rsidR="00666C57">
        <w:rPr>
          <w:sz w:val="24"/>
          <w:szCs w:val="24"/>
          <w:lang w:val="en-US"/>
        </w:rPr>
        <w:t>capitale</w:t>
      </w:r>
      <w:proofErr w:type="spellEnd"/>
      <w:r w:rsidRPr="007E4D1C">
        <w:rPr>
          <w:sz w:val="24"/>
          <w:szCs w:val="24"/>
          <w:lang w:val="en-US"/>
        </w:rPr>
        <w:t xml:space="preserve"> din </w:t>
      </w:r>
      <w:proofErr w:type="spellStart"/>
      <w:r w:rsidRPr="007E4D1C">
        <w:rPr>
          <w:sz w:val="24"/>
          <w:szCs w:val="24"/>
          <w:lang w:val="en-US"/>
        </w:rPr>
        <w:t>surse</w:t>
      </w:r>
      <w:proofErr w:type="spellEnd"/>
      <w:r w:rsidRPr="007E4D1C">
        <w:rPr>
          <w:sz w:val="24"/>
          <w:szCs w:val="24"/>
          <w:lang w:val="en-US"/>
        </w:rPr>
        <w:t xml:space="preserve"> interne </w:t>
      </w:r>
      <w:proofErr w:type="spellStart"/>
      <w:r w:rsidRPr="007E4D1C">
        <w:rPr>
          <w:sz w:val="24"/>
          <w:szCs w:val="24"/>
          <w:lang w:val="en-US"/>
        </w:rPr>
        <w:t>pentru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instituţiile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bugetare</w:t>
      </w:r>
      <w:proofErr w:type="spellEnd"/>
      <w:r w:rsidRPr="007E4D1C">
        <w:rPr>
          <w:sz w:val="24"/>
          <w:szCs w:val="24"/>
          <w:lang w:val="en-US"/>
        </w:rPr>
        <w:t xml:space="preserve">”, </w:t>
      </w:r>
      <w:proofErr w:type="spellStart"/>
      <w:r w:rsidRPr="007E4D1C">
        <w:rPr>
          <w:sz w:val="24"/>
          <w:szCs w:val="24"/>
          <w:lang w:val="en-US"/>
        </w:rPr>
        <w:t>respectiv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Pr="007E4D1C">
        <w:rPr>
          <w:sz w:val="24"/>
          <w:szCs w:val="24"/>
          <w:lang w:val="en-US"/>
        </w:rPr>
        <w:t>maj</w:t>
      </w:r>
      <w:r w:rsidR="00666C57">
        <w:rPr>
          <w:sz w:val="24"/>
          <w:szCs w:val="24"/>
          <w:lang w:val="en-US"/>
        </w:rPr>
        <w:t>or</w:t>
      </w:r>
      <w:r w:rsidR="008A5888">
        <w:rPr>
          <w:sz w:val="24"/>
          <w:szCs w:val="24"/>
          <w:lang w:val="en-US"/>
        </w:rPr>
        <w:t>înd</w:t>
      </w:r>
      <w:proofErr w:type="spellEnd"/>
      <w:r w:rsidR="008A5888">
        <w:rPr>
          <w:sz w:val="24"/>
          <w:szCs w:val="24"/>
          <w:lang w:val="en-US"/>
        </w:rPr>
        <w:t xml:space="preserve"> </w:t>
      </w:r>
      <w:proofErr w:type="spellStart"/>
      <w:r w:rsidR="008A5888">
        <w:rPr>
          <w:sz w:val="24"/>
          <w:szCs w:val="24"/>
          <w:lang w:val="en-US"/>
        </w:rPr>
        <w:t>cheltuielile</w:t>
      </w:r>
      <w:proofErr w:type="spellEnd"/>
      <w:r w:rsidR="008A5888">
        <w:rPr>
          <w:sz w:val="24"/>
          <w:szCs w:val="24"/>
          <w:lang w:val="en-US"/>
        </w:rPr>
        <w:t xml:space="preserve"> </w:t>
      </w:r>
      <w:proofErr w:type="spellStart"/>
      <w:r w:rsidR="008A5888">
        <w:rPr>
          <w:sz w:val="24"/>
          <w:szCs w:val="24"/>
          <w:lang w:val="en-US"/>
        </w:rPr>
        <w:t>în</w:t>
      </w:r>
      <w:proofErr w:type="spellEnd"/>
      <w:r w:rsidR="008A5888">
        <w:rPr>
          <w:sz w:val="24"/>
          <w:szCs w:val="24"/>
          <w:lang w:val="en-US"/>
        </w:rPr>
        <w:t xml:space="preserve"> </w:t>
      </w:r>
      <w:proofErr w:type="spellStart"/>
      <w:r w:rsidR="008A5888">
        <w:rPr>
          <w:sz w:val="24"/>
          <w:szCs w:val="24"/>
          <w:lang w:val="en-US"/>
        </w:rPr>
        <w:t>suma</w:t>
      </w:r>
      <w:proofErr w:type="spellEnd"/>
      <w:r w:rsidR="008A5888">
        <w:rPr>
          <w:sz w:val="24"/>
          <w:szCs w:val="24"/>
          <w:lang w:val="en-US"/>
        </w:rPr>
        <w:t xml:space="preserve"> de 167500</w:t>
      </w:r>
      <w:r w:rsidRPr="007E4D1C">
        <w:rPr>
          <w:sz w:val="24"/>
          <w:szCs w:val="24"/>
          <w:lang w:val="en-US"/>
        </w:rPr>
        <w:t xml:space="preserve"> lei </w:t>
      </w:r>
      <w:proofErr w:type="spellStart"/>
      <w:r w:rsidRPr="007E4D1C">
        <w:rPr>
          <w:sz w:val="24"/>
          <w:szCs w:val="24"/>
          <w:lang w:val="en-US"/>
        </w:rPr>
        <w:t>pentru</w:t>
      </w:r>
      <w:proofErr w:type="spellEnd"/>
      <w:r w:rsidRPr="007E4D1C">
        <w:rPr>
          <w:sz w:val="24"/>
          <w:szCs w:val="24"/>
          <w:lang w:val="en-US"/>
        </w:rPr>
        <w:t xml:space="preserve"> </w:t>
      </w:r>
      <w:proofErr w:type="spellStart"/>
      <w:r w:rsidR="00666C57">
        <w:rPr>
          <w:sz w:val="24"/>
          <w:szCs w:val="24"/>
          <w:lang w:val="en-US"/>
        </w:rPr>
        <w:t>reparația</w:t>
      </w:r>
      <w:proofErr w:type="spellEnd"/>
      <w:r w:rsidR="00666C57">
        <w:rPr>
          <w:sz w:val="24"/>
          <w:szCs w:val="24"/>
          <w:lang w:val="en-US"/>
        </w:rPr>
        <w:t xml:space="preserve"> </w:t>
      </w:r>
      <w:proofErr w:type="spellStart"/>
      <w:r w:rsidR="00666C57">
        <w:rPr>
          <w:sz w:val="24"/>
          <w:szCs w:val="24"/>
          <w:lang w:val="en-US"/>
        </w:rPr>
        <w:t>drumului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următoarea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bugetară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:</w:t>
      </w:r>
      <w:r w:rsidR="00666C57" w:rsidRPr="00666C57">
        <w:rPr>
          <w:color w:val="262626"/>
          <w:lang w:val="it-IT"/>
        </w:rPr>
        <w:t xml:space="preserve"> </w:t>
      </w:r>
    </w:p>
    <w:p w:rsidR="00666C57" w:rsidRDefault="00666C57" w:rsidP="00666C5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</w:t>
      </w:r>
      <w:proofErr w:type="spellStart"/>
      <w:r>
        <w:rPr>
          <w:b/>
          <w:sz w:val="24"/>
          <w:szCs w:val="24"/>
          <w:lang w:val="en-US"/>
        </w:rPr>
        <w:t>Dezvoltarea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US"/>
        </w:rPr>
        <w:t>drumurilor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BF237A">
        <w:rPr>
          <w:b/>
          <w:sz w:val="24"/>
          <w:szCs w:val="24"/>
          <w:lang w:val="en-US"/>
        </w:rPr>
        <w:t xml:space="preserve"> S2</w:t>
      </w:r>
      <w:proofErr w:type="gramEnd"/>
      <w:r w:rsidRPr="00BF237A">
        <w:rPr>
          <w:b/>
          <w:sz w:val="24"/>
          <w:szCs w:val="24"/>
          <w:lang w:val="en-US"/>
        </w:rPr>
        <w:t xml:space="preserve"> (21) F3 (0451) P1</w:t>
      </w:r>
      <w:r>
        <w:rPr>
          <w:b/>
          <w:sz w:val="24"/>
          <w:szCs w:val="24"/>
          <w:lang w:val="en-US"/>
        </w:rPr>
        <w:t>P2(6402) P3(00154)Org2 (10763)</w:t>
      </w:r>
    </w:p>
    <w:p w:rsidR="0084367D" w:rsidRDefault="004220B8" w:rsidP="00666C57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reparația</w:t>
      </w:r>
      <w:proofErr w:type="spellEnd"/>
      <w:r w:rsidR="00666C57">
        <w:rPr>
          <w:sz w:val="24"/>
          <w:szCs w:val="24"/>
          <w:lang w:val="en-US"/>
        </w:rPr>
        <w:t xml:space="preserve"> </w:t>
      </w:r>
      <w:proofErr w:type="spellStart"/>
      <w:r w:rsidR="00666C57" w:rsidRPr="00353966">
        <w:rPr>
          <w:sz w:val="24"/>
          <w:szCs w:val="24"/>
          <w:lang w:val="en-US"/>
        </w:rPr>
        <w:t>drumurilor</w:t>
      </w:r>
      <w:proofErr w:type="spellEnd"/>
      <w:r w:rsidR="00666C57" w:rsidRPr="00353966">
        <w:rPr>
          <w:sz w:val="24"/>
          <w:szCs w:val="24"/>
          <w:lang w:val="en-US"/>
        </w:rPr>
        <w:t xml:space="preserve"> </w:t>
      </w:r>
      <w:r w:rsidR="00666C57">
        <w:rPr>
          <w:sz w:val="24"/>
          <w:szCs w:val="24"/>
          <w:lang w:val="en-US"/>
        </w:rPr>
        <w:t xml:space="preserve">                                                                     </w:t>
      </w:r>
      <w:r>
        <w:rPr>
          <w:sz w:val="24"/>
          <w:szCs w:val="24"/>
          <w:lang w:val="en-US"/>
        </w:rPr>
        <w:t xml:space="preserve">             </w:t>
      </w:r>
      <w:r w:rsidR="00666C57">
        <w:rPr>
          <w:sz w:val="24"/>
          <w:szCs w:val="24"/>
          <w:lang w:val="en-US"/>
        </w:rPr>
        <w:t xml:space="preserve">       </w:t>
      </w:r>
      <w:r w:rsidR="00161E32">
        <w:rPr>
          <w:b/>
          <w:sz w:val="24"/>
          <w:szCs w:val="24"/>
          <w:lang w:val="en-US"/>
        </w:rPr>
        <w:t>167 50</w:t>
      </w:r>
      <w:r w:rsidR="00666C57" w:rsidRPr="000D1AA5">
        <w:rPr>
          <w:b/>
          <w:sz w:val="24"/>
          <w:szCs w:val="24"/>
          <w:lang w:val="en-US"/>
        </w:rPr>
        <w:t>0 lei</w:t>
      </w:r>
    </w:p>
    <w:p w:rsidR="0084367D" w:rsidRDefault="0084367D" w:rsidP="0084367D">
      <w:pPr>
        <w:pStyle w:val="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2.</w:t>
      </w:r>
      <w:r w:rsidRPr="007B0859">
        <w:rPr>
          <w:b/>
          <w:i w:val="0"/>
          <w:sz w:val="24"/>
          <w:szCs w:val="24"/>
          <w:lang w:val="en-US"/>
        </w:rPr>
        <w:t xml:space="preserve"> Se </w:t>
      </w:r>
      <w:proofErr w:type="spellStart"/>
      <w:r w:rsidRPr="007B0859">
        <w:rPr>
          <w:b/>
          <w:i w:val="0"/>
          <w:sz w:val="24"/>
          <w:szCs w:val="24"/>
          <w:lang w:val="en-US"/>
        </w:rPr>
        <w:t>alocă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Pr="007B0859">
        <w:rPr>
          <w:b/>
          <w:i w:val="0"/>
          <w:sz w:val="24"/>
          <w:szCs w:val="24"/>
          <w:lang w:val="en-US"/>
        </w:rPr>
        <w:t>mijloace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Pr="007B0859">
        <w:rPr>
          <w:b/>
          <w:i w:val="0"/>
          <w:sz w:val="24"/>
          <w:szCs w:val="24"/>
          <w:lang w:val="en-US"/>
        </w:rPr>
        <w:t>financiare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Pr="007B0859">
        <w:rPr>
          <w:b/>
          <w:i w:val="0"/>
          <w:sz w:val="24"/>
          <w:szCs w:val="24"/>
          <w:lang w:val="en-US"/>
        </w:rPr>
        <w:t>în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Pr="007B0859">
        <w:rPr>
          <w:b/>
          <w:i w:val="0"/>
          <w:sz w:val="24"/>
          <w:szCs w:val="24"/>
          <w:lang w:val="en-US"/>
        </w:rPr>
        <w:t>sumă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de </w:t>
      </w:r>
      <w:r>
        <w:rPr>
          <w:b/>
          <w:i w:val="0"/>
          <w:sz w:val="24"/>
          <w:szCs w:val="24"/>
          <w:lang w:val="en-US"/>
        </w:rPr>
        <w:t xml:space="preserve"> </w:t>
      </w:r>
      <w:r w:rsidR="00D814CF">
        <w:rPr>
          <w:i w:val="0"/>
          <w:sz w:val="24"/>
          <w:szCs w:val="24"/>
          <w:lang w:val="en-US"/>
        </w:rPr>
        <w:t>237 0</w:t>
      </w:r>
      <w:r w:rsidRPr="00D814CF">
        <w:rPr>
          <w:i w:val="0"/>
          <w:sz w:val="24"/>
          <w:szCs w:val="24"/>
          <w:lang w:val="en-US"/>
        </w:rPr>
        <w:t>00</w:t>
      </w:r>
      <w:r>
        <w:rPr>
          <w:b/>
          <w:i w:val="0"/>
          <w:sz w:val="24"/>
          <w:szCs w:val="24"/>
          <w:lang w:val="en-US"/>
        </w:rPr>
        <w:t xml:space="preserve"> </w:t>
      </w:r>
      <w:r w:rsidRPr="006F57F1">
        <w:rPr>
          <w:b/>
          <w:i w:val="0"/>
          <w:sz w:val="24"/>
          <w:szCs w:val="24"/>
          <w:lang w:val="en-US"/>
        </w:rPr>
        <w:t>lei</w:t>
      </w:r>
      <w:r w:rsidRPr="007B0859">
        <w:rPr>
          <w:b/>
          <w:i w:val="0"/>
          <w:sz w:val="24"/>
          <w:szCs w:val="24"/>
          <w:lang w:val="en-US"/>
        </w:rPr>
        <w:t xml:space="preserve"> din </w:t>
      </w:r>
      <w:proofErr w:type="spellStart"/>
      <w:r w:rsidRPr="007B0859">
        <w:rPr>
          <w:b/>
          <w:i w:val="0"/>
          <w:sz w:val="24"/>
          <w:szCs w:val="24"/>
          <w:lang w:val="en-US"/>
        </w:rPr>
        <w:t>soldul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Pr="007B0859">
        <w:rPr>
          <w:b/>
          <w:i w:val="0"/>
          <w:sz w:val="24"/>
          <w:szCs w:val="24"/>
          <w:lang w:val="en-US"/>
        </w:rPr>
        <w:t>disponibil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al </w:t>
      </w:r>
      <w:proofErr w:type="spellStart"/>
      <w:r w:rsidRPr="007B0859">
        <w:rPr>
          <w:b/>
          <w:i w:val="0"/>
          <w:sz w:val="24"/>
          <w:szCs w:val="24"/>
          <w:lang w:val="en-US"/>
        </w:rPr>
        <w:t>primăriei</w:t>
      </w:r>
      <w:proofErr w:type="spellEnd"/>
      <w:r w:rsidRPr="007B0859">
        <w:rPr>
          <w:b/>
          <w:i w:val="0"/>
          <w:sz w:val="24"/>
          <w:szCs w:val="24"/>
          <w:lang w:val="en-US"/>
        </w:rPr>
        <w:t>, f</w:t>
      </w:r>
      <w:r>
        <w:rPr>
          <w:b/>
          <w:i w:val="0"/>
          <w:sz w:val="24"/>
          <w:szCs w:val="24"/>
          <w:lang w:val="en-US"/>
        </w:rPr>
        <w:t xml:space="preserve">ormat la </w:t>
      </w:r>
      <w:proofErr w:type="spellStart"/>
      <w:r>
        <w:rPr>
          <w:b/>
          <w:i w:val="0"/>
          <w:sz w:val="24"/>
          <w:szCs w:val="24"/>
          <w:lang w:val="en-US"/>
        </w:rPr>
        <w:t>situaţia</w:t>
      </w:r>
      <w:proofErr w:type="spellEnd"/>
      <w:r>
        <w:rPr>
          <w:b/>
          <w:i w:val="0"/>
          <w:sz w:val="24"/>
          <w:szCs w:val="24"/>
          <w:lang w:val="en-US"/>
        </w:rPr>
        <w:t xml:space="preserve"> din 01.01.2026</w:t>
      </w:r>
      <w:r w:rsidRPr="007B0859">
        <w:rPr>
          <w:b/>
          <w:i w:val="0"/>
          <w:sz w:val="24"/>
          <w:szCs w:val="24"/>
          <w:lang w:val="en-US"/>
        </w:rPr>
        <w:t xml:space="preserve">, </w:t>
      </w:r>
      <w:proofErr w:type="spellStart"/>
      <w:r w:rsidRPr="007B0859">
        <w:rPr>
          <w:b/>
          <w:i w:val="0"/>
          <w:sz w:val="24"/>
          <w:szCs w:val="24"/>
          <w:lang w:val="en-US"/>
        </w:rPr>
        <w:t>după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cum </w:t>
      </w:r>
      <w:proofErr w:type="spellStart"/>
      <w:r w:rsidRPr="007B0859">
        <w:rPr>
          <w:b/>
          <w:i w:val="0"/>
          <w:sz w:val="24"/>
          <w:szCs w:val="24"/>
          <w:lang w:val="en-US"/>
        </w:rPr>
        <w:t>urmează</w:t>
      </w:r>
      <w:proofErr w:type="spellEnd"/>
      <w:r w:rsidRPr="007B0859">
        <w:rPr>
          <w:b/>
          <w:sz w:val="24"/>
          <w:szCs w:val="24"/>
          <w:lang w:val="en-US"/>
        </w:rPr>
        <w:t>:</w:t>
      </w:r>
      <w:r w:rsidR="00D814CF">
        <w:rPr>
          <w:b/>
          <w:sz w:val="24"/>
          <w:szCs w:val="24"/>
          <w:lang w:val="en-US"/>
        </w:rPr>
        <w:t xml:space="preserve">  </w:t>
      </w:r>
    </w:p>
    <w:p w:rsidR="00D814CF" w:rsidRPr="00D814CF" w:rsidRDefault="00D814CF" w:rsidP="00D814C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Pr="00D814CF">
        <w:rPr>
          <w:b/>
          <w:sz w:val="24"/>
          <w:szCs w:val="24"/>
          <w:lang w:val="en-US"/>
        </w:rPr>
        <w:t xml:space="preserve"> </w:t>
      </w:r>
      <w:proofErr w:type="spellStart"/>
      <w:r w:rsidRPr="00D814CF">
        <w:rPr>
          <w:b/>
          <w:sz w:val="24"/>
          <w:szCs w:val="24"/>
          <w:lang w:val="en-US"/>
        </w:rPr>
        <w:t>Dezvoltare</w:t>
      </w:r>
      <w:proofErr w:type="spellEnd"/>
      <w:r w:rsidRPr="00D814CF">
        <w:rPr>
          <w:b/>
          <w:sz w:val="24"/>
          <w:szCs w:val="24"/>
          <w:lang w:val="en-US"/>
        </w:rPr>
        <w:t xml:space="preserve"> </w:t>
      </w:r>
      <w:proofErr w:type="spellStart"/>
      <w:r w:rsidRPr="00D814CF">
        <w:rPr>
          <w:b/>
          <w:sz w:val="24"/>
          <w:szCs w:val="24"/>
          <w:lang w:val="en-US"/>
        </w:rPr>
        <w:t>comunală</w:t>
      </w:r>
      <w:proofErr w:type="spellEnd"/>
      <w:r w:rsidRPr="00D814CF">
        <w:rPr>
          <w:b/>
          <w:sz w:val="24"/>
          <w:szCs w:val="24"/>
          <w:lang w:val="en-US"/>
        </w:rPr>
        <w:t xml:space="preserve"> </w:t>
      </w:r>
      <w:proofErr w:type="spellStart"/>
      <w:r w:rsidRPr="00D814CF">
        <w:rPr>
          <w:b/>
          <w:sz w:val="24"/>
          <w:szCs w:val="24"/>
          <w:lang w:val="en-US"/>
        </w:rPr>
        <w:t>şi</w:t>
      </w:r>
      <w:proofErr w:type="spellEnd"/>
      <w:r w:rsidRPr="00D814CF">
        <w:rPr>
          <w:b/>
          <w:sz w:val="24"/>
          <w:szCs w:val="24"/>
          <w:lang w:val="en-US"/>
        </w:rPr>
        <w:t xml:space="preserve"> </w:t>
      </w:r>
      <w:proofErr w:type="spellStart"/>
      <w:r w:rsidRPr="00D814CF">
        <w:rPr>
          <w:b/>
          <w:sz w:val="24"/>
          <w:szCs w:val="24"/>
          <w:lang w:val="en-US"/>
        </w:rPr>
        <w:t>amenajare</w:t>
      </w:r>
      <w:proofErr w:type="spellEnd"/>
      <w:r w:rsidRPr="00D814CF">
        <w:rPr>
          <w:b/>
          <w:sz w:val="24"/>
          <w:szCs w:val="24"/>
          <w:lang w:val="en-US"/>
        </w:rPr>
        <w:t xml:space="preserve">    S2 (21) F3 (0620) </w:t>
      </w:r>
      <w:proofErr w:type="gramStart"/>
      <w:r w:rsidRPr="00D814CF">
        <w:rPr>
          <w:b/>
          <w:sz w:val="24"/>
          <w:szCs w:val="24"/>
          <w:lang w:val="en-US"/>
        </w:rPr>
        <w:t>P1P2(</w:t>
      </w:r>
      <w:proofErr w:type="gramEnd"/>
      <w:r w:rsidRPr="00D814CF">
        <w:rPr>
          <w:b/>
          <w:sz w:val="24"/>
          <w:szCs w:val="24"/>
          <w:lang w:val="en-US"/>
        </w:rPr>
        <w:t>7502) P3(00333)</w:t>
      </w:r>
    </w:p>
    <w:p w:rsidR="00D814CF" w:rsidRPr="00D814CF" w:rsidRDefault="00D814CF" w:rsidP="00D814CF">
      <w:pPr>
        <w:pStyle w:val="a5"/>
        <w:ind w:left="525"/>
        <w:rPr>
          <w:b/>
          <w:sz w:val="24"/>
          <w:szCs w:val="24"/>
          <w:lang w:val="en-US"/>
        </w:rPr>
      </w:pPr>
      <w:r w:rsidRPr="00DB1C1F">
        <w:rPr>
          <w:b/>
          <w:sz w:val="24"/>
          <w:szCs w:val="24"/>
          <w:lang w:val="en-US"/>
        </w:rPr>
        <w:t>Org2 (10763)</w:t>
      </w:r>
    </w:p>
    <w:p w:rsidR="00666C57" w:rsidRPr="00D814CF" w:rsidRDefault="00D814CF" w:rsidP="00666C57">
      <w:pPr>
        <w:rPr>
          <w:sz w:val="24"/>
          <w:szCs w:val="24"/>
          <w:lang w:val="en-US"/>
        </w:rPr>
      </w:pPr>
      <w:r w:rsidRPr="00D814CF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D814CF">
        <w:rPr>
          <w:sz w:val="24"/>
          <w:szCs w:val="24"/>
          <w:lang w:val="en-US"/>
        </w:rPr>
        <w:t>pentru</w:t>
      </w:r>
      <w:proofErr w:type="spellEnd"/>
      <w:proofErr w:type="gramEnd"/>
      <w:r w:rsidRPr="00D814CF">
        <w:rPr>
          <w:sz w:val="24"/>
          <w:szCs w:val="24"/>
          <w:lang w:val="en-US"/>
        </w:rPr>
        <w:t xml:space="preserve"> </w:t>
      </w:r>
      <w:proofErr w:type="spellStart"/>
      <w:r w:rsidRPr="00D814CF">
        <w:rPr>
          <w:sz w:val="24"/>
          <w:szCs w:val="24"/>
          <w:lang w:val="en-US"/>
        </w:rPr>
        <w:t>supravegherea</w:t>
      </w:r>
      <w:proofErr w:type="spellEnd"/>
      <w:r w:rsidRPr="00D814CF">
        <w:rPr>
          <w:sz w:val="24"/>
          <w:szCs w:val="24"/>
          <w:lang w:val="en-US"/>
        </w:rPr>
        <w:t xml:space="preserve"> video a </w:t>
      </w:r>
      <w:proofErr w:type="spellStart"/>
      <w:r w:rsidRPr="00D814CF">
        <w:rPr>
          <w:sz w:val="24"/>
          <w:szCs w:val="24"/>
          <w:lang w:val="en-US"/>
        </w:rPr>
        <w:t>or.Anenii</w:t>
      </w:r>
      <w:proofErr w:type="spellEnd"/>
      <w:r w:rsidRPr="00D814CF">
        <w:rPr>
          <w:sz w:val="24"/>
          <w:szCs w:val="24"/>
          <w:lang w:val="en-US"/>
        </w:rPr>
        <w:t xml:space="preserve"> </w:t>
      </w:r>
      <w:proofErr w:type="spellStart"/>
      <w:r w:rsidRPr="00D814CF">
        <w:rPr>
          <w:sz w:val="24"/>
          <w:szCs w:val="24"/>
          <w:lang w:val="en-US"/>
        </w:rPr>
        <w:t>Noi</w:t>
      </w:r>
      <w:proofErr w:type="spellEnd"/>
      <w:r w:rsidRPr="00D814CF">
        <w:rPr>
          <w:sz w:val="24"/>
          <w:szCs w:val="24"/>
          <w:lang w:val="en-US"/>
        </w:rPr>
        <w:t xml:space="preserve">  </w:t>
      </w:r>
      <w:r w:rsidR="00666C57" w:rsidRPr="00D814CF">
        <w:rPr>
          <w:sz w:val="24"/>
          <w:szCs w:val="24"/>
          <w:lang w:val="en-US"/>
        </w:rPr>
        <w:t xml:space="preserve"> </w:t>
      </w:r>
      <w:r w:rsidRPr="00D814CF">
        <w:rPr>
          <w:sz w:val="24"/>
          <w:szCs w:val="24"/>
          <w:lang w:val="en-US"/>
        </w:rPr>
        <w:t xml:space="preserve">                                                              </w:t>
      </w:r>
      <w:r w:rsidRPr="00D814CF">
        <w:rPr>
          <w:b/>
          <w:sz w:val="24"/>
          <w:szCs w:val="24"/>
          <w:lang w:val="en-US"/>
        </w:rPr>
        <w:t>237 000 lei</w:t>
      </w:r>
    </w:p>
    <w:p w:rsidR="00765590" w:rsidRPr="00BC1170" w:rsidRDefault="00765590" w:rsidP="00765590">
      <w:pPr>
        <w:rPr>
          <w:color w:val="000000"/>
          <w:sz w:val="24"/>
          <w:szCs w:val="24"/>
          <w:lang w:val="ro-RO"/>
        </w:rPr>
      </w:pPr>
      <w:r w:rsidRPr="007B0859">
        <w:rPr>
          <w:sz w:val="24"/>
          <w:szCs w:val="24"/>
          <w:lang w:val="ro-RO"/>
        </w:rPr>
        <w:t xml:space="preserve">  </w:t>
      </w:r>
      <w:r w:rsidR="00666C57">
        <w:rPr>
          <w:b/>
          <w:sz w:val="24"/>
          <w:szCs w:val="24"/>
          <w:lang w:val="ro-RO"/>
        </w:rPr>
        <w:t xml:space="preserve">      </w:t>
      </w:r>
      <w:r w:rsidRPr="007B0859">
        <w:rPr>
          <w:b/>
          <w:sz w:val="24"/>
          <w:szCs w:val="24"/>
          <w:lang w:val="ro-RO"/>
        </w:rPr>
        <w:t xml:space="preserve">  </w:t>
      </w:r>
      <w:r w:rsidR="0084367D">
        <w:rPr>
          <w:b/>
          <w:sz w:val="24"/>
          <w:szCs w:val="24"/>
          <w:lang w:val="ro-RO"/>
        </w:rPr>
        <w:t>3</w:t>
      </w:r>
      <w:r w:rsidRPr="005B28AB">
        <w:rPr>
          <w:b/>
          <w:sz w:val="24"/>
          <w:szCs w:val="24"/>
          <w:lang w:val="ro-RO"/>
        </w:rPr>
        <w:t>.</w:t>
      </w:r>
      <w:r w:rsidRPr="00BB0B66">
        <w:rPr>
          <w:color w:val="000000"/>
          <w:sz w:val="24"/>
          <w:szCs w:val="24"/>
          <w:lang w:val="ro-RO"/>
        </w:rPr>
        <w:t>Prezenta decizie, poate fi contestată de Oficiului Teritorial Căușeni al Cancelariei de Stat în termen de 30 de zile, prin intermediul Judecătoriei Anenii Noi, sediul Central.</w:t>
      </w:r>
      <w:r w:rsidRPr="00E46FC4">
        <w:rPr>
          <w:b/>
          <w:sz w:val="24"/>
          <w:szCs w:val="24"/>
          <w:highlight w:val="yellow"/>
          <w:lang w:val="en-US"/>
        </w:rPr>
        <w:t xml:space="preserve">                                                               </w:t>
      </w:r>
    </w:p>
    <w:p w:rsidR="00765590" w:rsidRPr="00BB0B66" w:rsidRDefault="00765590" w:rsidP="00765590">
      <w:pPr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proofErr w:type="gramStart"/>
      <w:r w:rsidR="0084367D">
        <w:rPr>
          <w:b/>
          <w:sz w:val="24"/>
          <w:szCs w:val="24"/>
          <w:lang w:val="en-US"/>
        </w:rPr>
        <w:t>4</w:t>
      </w:r>
      <w:r w:rsidRPr="00E25A0B">
        <w:rPr>
          <w:b/>
          <w:sz w:val="24"/>
          <w:szCs w:val="24"/>
          <w:lang w:val="en-US"/>
        </w:rPr>
        <w:t>.</w:t>
      </w:r>
      <w:r w:rsidRPr="00BB0B66">
        <w:rPr>
          <w:sz w:val="24"/>
          <w:szCs w:val="24"/>
          <w:lang w:val="ro-RO"/>
        </w:rPr>
        <w:t>Prezenta</w:t>
      </w:r>
      <w:proofErr w:type="gramEnd"/>
      <w:r w:rsidRPr="00BB0B66">
        <w:rPr>
          <w:sz w:val="24"/>
          <w:szCs w:val="24"/>
          <w:lang w:val="ro-RO"/>
        </w:rPr>
        <w:t xml:space="preserve"> decizie se aduce la cunoştinţă publică prin plasarea în Registrul de Stat al Actelor Locale, pe pag web şi panoul informativ al instituţiei.</w:t>
      </w:r>
    </w:p>
    <w:p w:rsidR="00765590" w:rsidRPr="00BB0B66" w:rsidRDefault="00765590" w:rsidP="00765590">
      <w:pPr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r w:rsidR="0084367D">
        <w:rPr>
          <w:b/>
          <w:sz w:val="24"/>
          <w:szCs w:val="24"/>
          <w:lang w:val="ro-RO"/>
        </w:rPr>
        <w:t>5</w:t>
      </w:r>
      <w:r w:rsidRPr="00E25A0B">
        <w:rPr>
          <w:b/>
          <w:sz w:val="24"/>
          <w:szCs w:val="24"/>
          <w:lang w:val="ro-RO"/>
        </w:rPr>
        <w:t>.</w:t>
      </w:r>
      <w:r w:rsidRPr="00BB0B66">
        <w:rPr>
          <w:sz w:val="24"/>
          <w:szCs w:val="24"/>
          <w:lang w:val="ro-RO"/>
        </w:rPr>
        <w:t xml:space="preserve"> Prezentul act administrativ este supus căilor de atac în procedură prealabilă către autoritatea emitentă în termen de 30 zile conform Codului administrativ.</w:t>
      </w:r>
    </w:p>
    <w:p w:rsidR="00765590" w:rsidRDefault="00765590" w:rsidP="00765590">
      <w:pPr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r w:rsidR="0084367D">
        <w:rPr>
          <w:b/>
          <w:sz w:val="24"/>
          <w:szCs w:val="24"/>
          <w:lang w:val="en-US"/>
        </w:rPr>
        <w:t>6</w:t>
      </w:r>
      <w:r w:rsidRPr="00E25A0B">
        <w:rPr>
          <w:b/>
          <w:sz w:val="24"/>
          <w:szCs w:val="24"/>
          <w:lang w:val="ro-RO"/>
        </w:rPr>
        <w:t>.</w:t>
      </w:r>
      <w:r w:rsidRPr="00BB0B66">
        <w:rPr>
          <w:sz w:val="24"/>
          <w:szCs w:val="24"/>
          <w:lang w:val="ro-RO"/>
        </w:rPr>
        <w:t xml:space="preserve"> Controlul asupra executării prezentei decizii s</w:t>
      </w:r>
      <w:r>
        <w:rPr>
          <w:sz w:val="24"/>
          <w:szCs w:val="24"/>
          <w:lang w:val="ro-RO"/>
        </w:rPr>
        <w:t>e atribuie Consiliului orăşenes</w:t>
      </w:r>
      <w:r w:rsidRPr="00BB0B66">
        <w:rPr>
          <w:sz w:val="24"/>
          <w:szCs w:val="24"/>
          <w:lang w:val="ro-RO"/>
        </w:rPr>
        <w:t>.</w:t>
      </w:r>
    </w:p>
    <w:p w:rsidR="00765590" w:rsidRPr="001C18A9" w:rsidRDefault="00765590" w:rsidP="00765590">
      <w:pPr>
        <w:contextualSpacing/>
        <w:rPr>
          <w:sz w:val="24"/>
          <w:szCs w:val="24"/>
          <w:lang w:val="ro-RO"/>
        </w:rPr>
      </w:pPr>
    </w:p>
    <w:p w:rsidR="00765590" w:rsidRDefault="00765590" w:rsidP="00765590">
      <w:pPr>
        <w:jc w:val="both"/>
        <w:rPr>
          <w:b/>
          <w:sz w:val="24"/>
          <w:szCs w:val="24"/>
          <w:lang w:val="ro-RO"/>
        </w:rPr>
      </w:pPr>
      <w:r>
        <w:rPr>
          <w:color w:val="000000"/>
          <w:sz w:val="24"/>
          <w:szCs w:val="24"/>
          <w:lang w:val="en-US"/>
        </w:rPr>
        <w:t xml:space="preserve">         </w:t>
      </w:r>
      <w:r>
        <w:rPr>
          <w:b/>
          <w:sz w:val="24"/>
          <w:szCs w:val="24"/>
          <w:lang w:val="ro-RO"/>
        </w:rPr>
        <w:t xml:space="preserve">Președintele ședinței:  </w:t>
      </w: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627DD0" w:rsidRDefault="00627DD0" w:rsidP="00765590">
      <w:pPr>
        <w:pStyle w:val="a5"/>
        <w:ind w:left="405"/>
        <w:rPr>
          <w:b/>
          <w:sz w:val="24"/>
          <w:szCs w:val="24"/>
          <w:lang w:val="ro-RO"/>
        </w:rPr>
      </w:pPr>
    </w:p>
    <w:p w:rsidR="004803B8" w:rsidRDefault="00765590" w:rsidP="00B415B6">
      <w:pPr>
        <w:ind w:left="2832" w:firstLine="708"/>
        <w:rPr>
          <w:lang w:val="en-US"/>
        </w:rPr>
      </w:pPr>
      <w:r>
        <w:rPr>
          <w:b/>
          <w:sz w:val="24"/>
          <w:szCs w:val="24"/>
          <w:lang w:val="ro-RO"/>
        </w:rPr>
        <w:br w:type="page"/>
      </w:r>
      <w:r w:rsidR="00B415B6">
        <w:rPr>
          <w:lang w:val="en-US"/>
        </w:rPr>
        <w:lastRenderedPageBreak/>
        <w:t xml:space="preserve"> </w:t>
      </w:r>
    </w:p>
    <w:p w:rsidR="0094647A" w:rsidRPr="004803B8" w:rsidRDefault="0094647A" w:rsidP="00627DD0">
      <w:pPr>
        <w:pStyle w:val="a5"/>
        <w:ind w:left="405"/>
        <w:rPr>
          <w:b/>
          <w:sz w:val="24"/>
          <w:szCs w:val="24"/>
          <w:lang w:val="en-US"/>
        </w:rPr>
      </w:pPr>
    </w:p>
    <w:p w:rsidR="00B67796" w:rsidRPr="004803B8" w:rsidRDefault="00B67796" w:rsidP="00834FCD">
      <w:pPr>
        <w:ind w:left="2832" w:firstLine="708"/>
        <w:rPr>
          <w:lang w:val="en-US"/>
        </w:rPr>
      </w:pPr>
    </w:p>
    <w:p w:rsidR="00627DD0" w:rsidRPr="004803B8" w:rsidRDefault="00627DD0" w:rsidP="00834FCD">
      <w:pPr>
        <w:ind w:left="2832" w:firstLine="708"/>
        <w:rPr>
          <w:lang w:val="en-US"/>
        </w:rPr>
      </w:pPr>
    </w:p>
    <w:p w:rsidR="00627DD0" w:rsidRPr="004803B8" w:rsidRDefault="00627DD0" w:rsidP="00834FCD">
      <w:pPr>
        <w:ind w:left="2832" w:firstLine="708"/>
        <w:rPr>
          <w:lang w:val="en-US"/>
        </w:rPr>
      </w:pPr>
    </w:p>
    <w:p w:rsidR="00627DD0" w:rsidRPr="004803B8" w:rsidRDefault="00627DD0" w:rsidP="00834FCD">
      <w:pPr>
        <w:ind w:left="2832" w:firstLine="708"/>
        <w:rPr>
          <w:lang w:val="en-US"/>
        </w:rPr>
      </w:pPr>
    </w:p>
    <w:p w:rsidR="00B67796" w:rsidRPr="004803B8" w:rsidRDefault="00B67796" w:rsidP="00834FCD">
      <w:pPr>
        <w:ind w:left="2832" w:firstLine="708"/>
        <w:rPr>
          <w:lang w:val="en-US"/>
        </w:rPr>
      </w:pPr>
    </w:p>
    <w:p w:rsidR="00B67796" w:rsidRPr="004803B8" w:rsidRDefault="00B67796" w:rsidP="00834FCD">
      <w:pPr>
        <w:ind w:left="2832" w:firstLine="708"/>
        <w:rPr>
          <w:lang w:val="en-US"/>
        </w:rPr>
      </w:pPr>
    </w:p>
    <w:p w:rsidR="00B67796" w:rsidRPr="004803B8" w:rsidRDefault="00B67796" w:rsidP="00834FCD">
      <w:pPr>
        <w:ind w:left="2832" w:firstLine="708"/>
        <w:rPr>
          <w:lang w:val="en-US"/>
        </w:rPr>
      </w:pPr>
    </w:p>
    <w:p w:rsidR="00834FCD" w:rsidRPr="004803B8" w:rsidRDefault="00834FCD" w:rsidP="00834FCD">
      <w:pPr>
        <w:rPr>
          <w:sz w:val="24"/>
          <w:szCs w:val="24"/>
          <w:lang w:val="en-US"/>
        </w:rPr>
      </w:pPr>
    </w:p>
    <w:p w:rsidR="003B0F74" w:rsidRPr="004803B8" w:rsidRDefault="003B0F74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p w:rsidR="001C57D2" w:rsidRPr="004803B8" w:rsidRDefault="001C57D2" w:rsidP="003B0F74">
      <w:pPr>
        <w:spacing w:after="200" w:line="276" w:lineRule="auto"/>
        <w:rPr>
          <w:sz w:val="24"/>
          <w:szCs w:val="24"/>
          <w:lang w:val="en-US"/>
        </w:rPr>
      </w:pPr>
    </w:p>
    <w:sectPr w:rsidR="001C57D2" w:rsidRPr="004803B8" w:rsidSect="00D6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00DE"/>
    <w:multiLevelType w:val="hybridMultilevel"/>
    <w:tmpl w:val="11A07D04"/>
    <w:lvl w:ilvl="0" w:tplc="2114641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C4E39C8"/>
    <w:multiLevelType w:val="hybridMultilevel"/>
    <w:tmpl w:val="3ED62182"/>
    <w:lvl w:ilvl="0" w:tplc="DD5E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537056"/>
    <w:multiLevelType w:val="hybridMultilevel"/>
    <w:tmpl w:val="6BC4C630"/>
    <w:lvl w:ilvl="0" w:tplc="C9E4EB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2AD"/>
    <w:rsid w:val="00013A85"/>
    <w:rsid w:val="000458C1"/>
    <w:rsid w:val="000523E6"/>
    <w:rsid w:val="0006585E"/>
    <w:rsid w:val="000A2B17"/>
    <w:rsid w:val="000B762A"/>
    <w:rsid w:val="000C19A9"/>
    <w:rsid w:val="000D5B9F"/>
    <w:rsid w:val="00116BDD"/>
    <w:rsid w:val="00140F96"/>
    <w:rsid w:val="001529D0"/>
    <w:rsid w:val="0016096C"/>
    <w:rsid w:val="00161E32"/>
    <w:rsid w:val="0016477E"/>
    <w:rsid w:val="00166B0D"/>
    <w:rsid w:val="00193684"/>
    <w:rsid w:val="001B563F"/>
    <w:rsid w:val="001C18A9"/>
    <w:rsid w:val="001C57D2"/>
    <w:rsid w:val="00215D55"/>
    <w:rsid w:val="002611AC"/>
    <w:rsid w:val="00290EE8"/>
    <w:rsid w:val="002D0719"/>
    <w:rsid w:val="002F309E"/>
    <w:rsid w:val="0031015C"/>
    <w:rsid w:val="003117CD"/>
    <w:rsid w:val="00317E26"/>
    <w:rsid w:val="0032335B"/>
    <w:rsid w:val="00353B00"/>
    <w:rsid w:val="003A612E"/>
    <w:rsid w:val="003A6DA9"/>
    <w:rsid w:val="003A7A89"/>
    <w:rsid w:val="003B0F74"/>
    <w:rsid w:val="003C1C82"/>
    <w:rsid w:val="003E7D10"/>
    <w:rsid w:val="004220B8"/>
    <w:rsid w:val="004803B8"/>
    <w:rsid w:val="004870E6"/>
    <w:rsid w:val="004B4A6D"/>
    <w:rsid w:val="004B61C2"/>
    <w:rsid w:val="004E2100"/>
    <w:rsid w:val="004E3617"/>
    <w:rsid w:val="004F0F7D"/>
    <w:rsid w:val="004F0FDE"/>
    <w:rsid w:val="00535F14"/>
    <w:rsid w:val="00545C0B"/>
    <w:rsid w:val="00553F15"/>
    <w:rsid w:val="00561B8A"/>
    <w:rsid w:val="005650BE"/>
    <w:rsid w:val="00581A75"/>
    <w:rsid w:val="005E060B"/>
    <w:rsid w:val="0060724F"/>
    <w:rsid w:val="0060776E"/>
    <w:rsid w:val="006179F2"/>
    <w:rsid w:val="00627DD0"/>
    <w:rsid w:val="006345C0"/>
    <w:rsid w:val="00666C57"/>
    <w:rsid w:val="006D3D69"/>
    <w:rsid w:val="006F57F1"/>
    <w:rsid w:val="00756A58"/>
    <w:rsid w:val="00765590"/>
    <w:rsid w:val="007815B2"/>
    <w:rsid w:val="007B0859"/>
    <w:rsid w:val="007F1EB6"/>
    <w:rsid w:val="00801A82"/>
    <w:rsid w:val="00816F5A"/>
    <w:rsid w:val="00820A6E"/>
    <w:rsid w:val="008327FF"/>
    <w:rsid w:val="00834FCD"/>
    <w:rsid w:val="0084367D"/>
    <w:rsid w:val="0084677D"/>
    <w:rsid w:val="00853419"/>
    <w:rsid w:val="00890575"/>
    <w:rsid w:val="00890772"/>
    <w:rsid w:val="008938F3"/>
    <w:rsid w:val="008A20B5"/>
    <w:rsid w:val="008A5888"/>
    <w:rsid w:val="008B112C"/>
    <w:rsid w:val="008C0A0B"/>
    <w:rsid w:val="00914D11"/>
    <w:rsid w:val="0094647A"/>
    <w:rsid w:val="00981010"/>
    <w:rsid w:val="00983D3A"/>
    <w:rsid w:val="00A006FD"/>
    <w:rsid w:val="00A25F98"/>
    <w:rsid w:val="00A4716E"/>
    <w:rsid w:val="00A61422"/>
    <w:rsid w:val="00A61F7F"/>
    <w:rsid w:val="00A7719D"/>
    <w:rsid w:val="00AA17E9"/>
    <w:rsid w:val="00AB50BE"/>
    <w:rsid w:val="00AB6CA6"/>
    <w:rsid w:val="00B23141"/>
    <w:rsid w:val="00B366CA"/>
    <w:rsid w:val="00B415B6"/>
    <w:rsid w:val="00B62798"/>
    <w:rsid w:val="00B64FB3"/>
    <w:rsid w:val="00B67796"/>
    <w:rsid w:val="00BB54AD"/>
    <w:rsid w:val="00BB6FCA"/>
    <w:rsid w:val="00BD1285"/>
    <w:rsid w:val="00BE7656"/>
    <w:rsid w:val="00BF72AD"/>
    <w:rsid w:val="00C13B04"/>
    <w:rsid w:val="00C41502"/>
    <w:rsid w:val="00C51D56"/>
    <w:rsid w:val="00C57E2C"/>
    <w:rsid w:val="00CA58F8"/>
    <w:rsid w:val="00CB65AE"/>
    <w:rsid w:val="00CD3D2E"/>
    <w:rsid w:val="00CE18F6"/>
    <w:rsid w:val="00CE3603"/>
    <w:rsid w:val="00D35A27"/>
    <w:rsid w:val="00D519A6"/>
    <w:rsid w:val="00D55FF1"/>
    <w:rsid w:val="00D63098"/>
    <w:rsid w:val="00D814CF"/>
    <w:rsid w:val="00D86073"/>
    <w:rsid w:val="00D87055"/>
    <w:rsid w:val="00DF2113"/>
    <w:rsid w:val="00E029AB"/>
    <w:rsid w:val="00E92CDC"/>
    <w:rsid w:val="00EC22B9"/>
    <w:rsid w:val="00EC495B"/>
    <w:rsid w:val="00EE0FD5"/>
    <w:rsid w:val="00EF5616"/>
    <w:rsid w:val="00F40907"/>
    <w:rsid w:val="00F41171"/>
    <w:rsid w:val="00F52DFB"/>
    <w:rsid w:val="00FB61A3"/>
    <w:rsid w:val="00FF18F7"/>
    <w:rsid w:val="00FF55A7"/>
    <w:rsid w:val="00FF606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CE2C47"/>
  <w15:docId w15:val="{27BCC552-1FD0-43CA-8858-86A605AB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7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2">
    <w:name w:val="FR2"/>
    <w:rsid w:val="00BF72AD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72AD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F4090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40907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834FCD"/>
  </w:style>
  <w:style w:type="character" w:styleId="a6">
    <w:name w:val="Hyperlink"/>
    <w:basedOn w:val="a0"/>
    <w:uiPriority w:val="99"/>
    <w:unhideWhenUsed/>
    <w:rsid w:val="00834FCD"/>
    <w:rPr>
      <w:color w:val="0000FF"/>
      <w:u w:val="single"/>
    </w:rPr>
  </w:style>
  <w:style w:type="paragraph" w:customStyle="1" w:styleId="msonormalmrcssattr">
    <w:name w:val="msonormal_mr_css_attr"/>
    <w:basedOn w:val="a"/>
    <w:rsid w:val="007655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2F851-57D0-4C1A-B827-5E7741D3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87</cp:revision>
  <cp:lastPrinted>2026-05-26T11:34:00Z</cp:lastPrinted>
  <dcterms:created xsi:type="dcterms:W3CDTF">2025-03-03T07:35:00Z</dcterms:created>
  <dcterms:modified xsi:type="dcterms:W3CDTF">2026-05-26T11:36:00Z</dcterms:modified>
</cp:coreProperties>
</file>