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459" w:type="dxa"/>
        <w:tblLayout w:type="fixed"/>
        <w:tblLook w:val="04A0"/>
      </w:tblPr>
      <w:tblGrid>
        <w:gridCol w:w="4534"/>
        <w:gridCol w:w="660"/>
        <w:gridCol w:w="1043"/>
        <w:gridCol w:w="4716"/>
      </w:tblGrid>
      <w:tr w:rsidR="002907B3" w:rsidRPr="00E02DE6" w:rsidTr="002907B3">
        <w:trPr>
          <w:cantSplit/>
          <w:trHeight w:val="1276"/>
        </w:trPr>
        <w:tc>
          <w:tcPr>
            <w:tcW w:w="4534" w:type="dxa"/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</w:rPr>
              <w:t>CONSILIUL</w:t>
            </w: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 xml:space="preserve"> OR</w:t>
            </w:r>
            <w:r w:rsidRPr="00E02DE6">
              <w:rPr>
                <w:rFonts w:ascii="Times New Roman" w:hAnsi="Times New Roman"/>
                <w:b/>
                <w:szCs w:val="24"/>
                <w:lang w:eastAsia="zh-CN"/>
              </w:rPr>
              <w:t>ĂŞENESC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zh-CN" w:eastAsia="zh-CN"/>
              </w:rPr>
              <w:t>ANENII NOI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E02DE6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4380" cy="1005840"/>
                  <wp:effectExtent l="19050" t="0" r="7620" b="0"/>
                  <wp:docPr id="18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ГОРОДСКОЙ СОВЕТ</w:t>
            </w:r>
          </w:p>
          <w:p w:rsidR="002907B3" w:rsidRPr="00E02DE6" w:rsidRDefault="002907B3" w:rsidP="002907B3">
            <w:pPr>
              <w:pStyle w:val="FR2"/>
              <w:tabs>
                <w:tab w:val="left" w:pos="-392"/>
              </w:tabs>
              <w:spacing w:before="0" w:line="240" w:lineRule="auto"/>
              <w:ind w:left="426"/>
              <w:rPr>
                <w:rFonts w:ascii="Times New Roman" w:hAnsi="Times New Roman"/>
                <w:b/>
                <w:szCs w:val="24"/>
                <w:lang w:val="zh-CN" w:eastAsia="zh-CN"/>
              </w:rPr>
            </w:pPr>
            <w:r w:rsidRPr="00E02DE6">
              <w:rPr>
                <w:rFonts w:ascii="Times New Roman" w:hAnsi="Times New Roman"/>
                <w:b/>
                <w:szCs w:val="24"/>
                <w:lang w:val="ru-RU"/>
              </w:rPr>
              <w:t xml:space="preserve">                 АНЕНИЙ НОЙ</w:t>
            </w:r>
          </w:p>
        </w:tc>
      </w:tr>
      <w:tr w:rsidR="002907B3" w:rsidRPr="002B4511" w:rsidTr="002907B3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2907B3" w:rsidRPr="009B3C89" w:rsidRDefault="003501A0" w:rsidP="002907B3">
            <w:pPr>
              <w:pStyle w:val="1"/>
              <w:tabs>
                <w:tab w:val="left" w:pos="-392"/>
              </w:tabs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3501A0">
              <w:rPr>
                <w:rFonts w:ascii="Times New Roman" w:hAnsi="Times New Roman" w:cs="Times New Roman"/>
                <w:b w:val="0"/>
                <w:sz w:val="24"/>
                <w:szCs w:val="24"/>
              </w:rPr>
              <w:pict>
                <v:line id="_x0000_s1026" style="position:absolute;left:0;text-align:left;z-index:251658240;mso-position-horizontal-relative:text;mso-position-vertical-relative:text" from="-15.8pt,26.15pt" to="503.8pt,2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      <v:stroke linestyle="thinThick"/>
                </v:line>
              </w:pict>
            </w:r>
            <w:r w:rsidR="002907B3"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ro-RO" w:eastAsia="zh-CN"/>
              </w:rPr>
              <w:t xml:space="preserve">x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026522108, </w:t>
            </w:r>
            <w:r w:rsidR="002907B3"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9" w:type="dxa"/>
            <w:gridSpan w:val="2"/>
            <w:hideMark/>
          </w:tcPr>
          <w:p w:rsidR="002907B3" w:rsidRPr="009B3C89" w:rsidRDefault="002907B3" w:rsidP="002907B3">
            <w:pPr>
              <w:pStyle w:val="1"/>
              <w:spacing w:before="0"/>
              <w:ind w:left="426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</w:pP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6501, г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Анений</w:t>
            </w:r>
            <w:proofErr w:type="spellEnd"/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Ной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>, ул.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Суворов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 w:rsidRPr="009B3C89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  <w:p w:rsidR="002907B3" w:rsidRPr="009B3C89" w:rsidRDefault="002907B3" w:rsidP="002907B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89"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B3C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B3C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893EB7" w:rsidRDefault="00893EB7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3822B8" w:rsidP="003822B8">
      <w:pPr>
        <w:tabs>
          <w:tab w:val="center" w:pos="5032"/>
          <w:tab w:val="left" w:pos="726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2907B3" w:rsidRPr="00E02DE6">
        <w:rPr>
          <w:rFonts w:ascii="Times New Roman" w:hAnsi="Times New Roman" w:cs="Times New Roman"/>
          <w:b/>
          <w:sz w:val="24"/>
          <w:szCs w:val="24"/>
          <w:lang w:val="ro-RO"/>
        </w:rPr>
        <w:t>DE</w:t>
      </w:r>
      <w:r w:rsidR="002907B3">
        <w:rPr>
          <w:rFonts w:ascii="Times New Roman" w:hAnsi="Times New Roman" w:cs="Times New Roman"/>
          <w:b/>
          <w:sz w:val="24"/>
          <w:szCs w:val="24"/>
          <w:lang w:val="ro-RO"/>
        </w:rPr>
        <w:t>CIZIE nr. 2/___</w:t>
      </w:r>
      <w:r w:rsidR="00A35A6F">
        <w:rPr>
          <w:rFonts w:ascii="Times New Roman" w:hAnsi="Times New Roman" w:cs="Times New Roman"/>
          <w:b/>
          <w:sz w:val="24"/>
          <w:szCs w:val="24"/>
          <w:lang w:val="ro-RO"/>
        </w:rPr>
        <w:tab/>
        <w:t>PROIECT NR. 20</w:t>
      </w:r>
    </w:p>
    <w:p w:rsidR="002907B3" w:rsidRDefault="002907B3" w:rsidP="002907B3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2025</w:t>
      </w:r>
    </w:p>
    <w:p w:rsidR="00893EB7" w:rsidRPr="00E02DE6" w:rsidRDefault="00893EB7" w:rsidP="002907B3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>Cu privire alocarea contribuției pentru proiectul</w:t>
      </w: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>Spațiu</w:t>
      </w:r>
      <w:proofErr w:type="spellEnd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 xml:space="preserve"> public urban </w:t>
      </w:r>
      <w:proofErr w:type="spellStart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>prietenos</w:t>
      </w:r>
      <w:proofErr w:type="spellEnd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>vârstnicilor</w:t>
      </w:r>
      <w:proofErr w:type="spellEnd"/>
      <w:r w:rsidR="00512D23" w:rsidRPr="00512D2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893EB7" w:rsidRDefault="00893EB7" w:rsidP="00893EB7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3EB7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proofErr w:type="gram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EB7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la 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Reforme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3EB7" w:rsidRPr="00893EB7" w:rsidRDefault="00893EB7" w:rsidP="00893EB7">
      <w:pPr>
        <w:pStyle w:val="a6"/>
        <w:jc w:val="both"/>
        <w:rPr>
          <w:rStyle w:val="FontStyle21"/>
          <w:rFonts w:cs="Times New Roman"/>
          <w:b w:val="0"/>
          <w:sz w:val="24"/>
          <w:szCs w:val="24"/>
          <w:lang w:val="ro-MO"/>
        </w:rPr>
      </w:pP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gramStart"/>
      <w:r w:rsidRPr="00893EB7">
        <w:rPr>
          <w:rFonts w:ascii="Times New Roman" w:hAnsi="Times New Roman" w:cs="Times New Roman"/>
          <w:sz w:val="24"/>
          <w:szCs w:val="24"/>
          <w:lang w:val="en-US"/>
        </w:rPr>
        <w:t>AO ”</w:t>
      </w:r>
      <w:proofErr w:type="spellStart"/>
      <w:proofErr w:type="gramEnd"/>
      <w:r w:rsidR="00512D23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- DOR</w:t>
      </w: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Instigare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Democrație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ediția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IV-a</w:t>
      </w:r>
      <w:r w:rsidRPr="00893EB7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2907B3" w:rsidRDefault="002907B3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840514" w:rsidRDefault="00893EB7" w:rsidP="002907B3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at. 14, alin. (2), lit. f), art. 19 din Legea nr. 436/2006 privind administraţia publică locală; Legea nr. 435/2006 art. 4, lit. (h) privind descentralizarea administrativă; Legea 397-XV din 16.10.2003, privind finanţele publice locale cu modificările şi completările ulterioare; în baza </w:t>
      </w:r>
      <w:r w:rsidR="00AD72D8">
        <w:rPr>
          <w:rFonts w:ascii="Times New Roman" w:hAnsi="Times New Roman" w:cs="Times New Roman"/>
          <w:sz w:val="24"/>
          <w:szCs w:val="24"/>
          <w:lang w:val="ro-RO"/>
        </w:rPr>
        <w:t>concursului anunţat şi a Regulamentului publicat de Consiliul raional Anenii Noi;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având avizul comisiei consultative, Consiliul orășenesc Anenii Noi, </w:t>
      </w:r>
    </w:p>
    <w:p w:rsidR="002907B3" w:rsidRDefault="002907B3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762804" w:rsidRDefault="00893EB7" w:rsidP="00290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2907B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2DE6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1. Se aprobă iniţiativa de proiect investiţional a Primăriei or. Anenii Noi </w:t>
      </w:r>
      <w:r w:rsidR="00512D2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2D23" w:rsidRPr="00512D2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Spațiu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public urban 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prietenos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vârstnicilor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înaintat spre finanţare la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Reforme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de către AO „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2D23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="00512D23">
        <w:rPr>
          <w:rFonts w:ascii="Times New Roman" w:hAnsi="Times New Roman" w:cs="Times New Roman"/>
          <w:sz w:val="24"/>
          <w:szCs w:val="24"/>
          <w:lang w:val="en-US"/>
        </w:rPr>
        <w:t xml:space="preserve"> - DOR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2. Se aprobă</w:t>
      </w:r>
      <w:r w:rsidR="00512D23">
        <w:rPr>
          <w:rFonts w:ascii="Times New Roman" w:hAnsi="Times New Roman" w:cs="Times New Roman"/>
          <w:sz w:val="24"/>
          <w:szCs w:val="24"/>
          <w:lang w:val="ro-RO"/>
        </w:rPr>
        <w:t>, din soldul disponibil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contribuţia Primăriei în cadrul proiectului </w:t>
      </w:r>
      <w:r w:rsidR="00512D23" w:rsidRPr="00512D2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Spațiu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public urban 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prietenos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vârstnicilor</w:t>
      </w:r>
      <w:proofErr w:type="spellEnd"/>
      <w:r w:rsidR="00512D23" w:rsidRPr="00512D2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în mărime de </w:t>
      </w:r>
      <w:r w:rsidR="00512D23">
        <w:rPr>
          <w:rFonts w:ascii="Times New Roman" w:hAnsi="Times New Roman" w:cs="Times New Roman"/>
          <w:sz w:val="24"/>
          <w:szCs w:val="24"/>
          <w:lang w:val="ro-RO"/>
        </w:rPr>
        <w:t xml:space="preserve">31 100 de lei 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din suma eligibilă a proiectului.</w:t>
      </w:r>
    </w:p>
    <w:p w:rsidR="000C7C6D" w:rsidRPr="00B83112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83112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86DA9" w:rsidRPr="00886DA9">
        <w:rPr>
          <w:rFonts w:ascii="Times New Roman" w:hAnsi="Times New Roman" w:cs="Times New Roman"/>
          <w:sz w:val="24"/>
          <w:szCs w:val="24"/>
          <w:lang w:val="ro-RO"/>
        </w:rPr>
        <w:t>2.1 Se alocă</w:t>
      </w:r>
      <w:r w:rsidRPr="00B831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contribuția în mărime de 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 xml:space="preserve">31 100 de lei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din costul total al proiectului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investițional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(</w:t>
      </w:r>
      <w:r w:rsidR="00886DA9" w:rsidRPr="00886DA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61</w:t>
      </w:r>
      <w:r w:rsidR="00886DA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 </w:t>
      </w:r>
      <w:r w:rsidR="00886DA9" w:rsidRPr="00886DA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125</w:t>
      </w:r>
      <w:r w:rsidR="00886DA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lei</w:t>
      </w:r>
      <w:r w:rsidRPr="00B8311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),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soldul disponibil</w:t>
      </w:r>
      <w:r w:rsidRPr="00B83112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al primăriei, pentru procurarea 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>unui foișor.</w:t>
      </w:r>
    </w:p>
    <w:p w:rsidR="000C7C6D" w:rsidRPr="000C7C6D" w:rsidRDefault="000C7C6D" w:rsidP="000C7C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3. Se împuternicește d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>na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>Tatiana Pavalachi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>, administrato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>are a</w:t>
      </w:r>
      <w:r w:rsidRPr="00B83112">
        <w:rPr>
          <w:rFonts w:ascii="Times New Roman" w:hAnsi="Times New Roman" w:cs="Times New Roman"/>
          <w:sz w:val="24"/>
          <w:szCs w:val="24"/>
          <w:lang w:val="ro-RO"/>
        </w:rPr>
        <w:t xml:space="preserve"> AO</w:t>
      </w:r>
      <w:r w:rsidR="00886D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,,</w:t>
      </w:r>
      <w:r w:rsidR="00886DA9">
        <w:rPr>
          <w:rFonts w:ascii="Times New Roman" w:hAnsi="Times New Roman" w:cs="Times New Roman"/>
          <w:color w:val="000000"/>
          <w:sz w:val="24"/>
          <w:szCs w:val="24"/>
          <w:lang w:val="ro-RO"/>
        </w:rPr>
        <w:t>Anenii Noi - DOR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>” din</w:t>
      </w:r>
      <w:r w:rsidR="003822B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s. </w:t>
      </w:r>
      <w:r w:rsidR="00886DA9">
        <w:rPr>
          <w:rFonts w:ascii="Times New Roman" w:hAnsi="Times New Roman" w:cs="Times New Roman"/>
          <w:color w:val="000000"/>
          <w:sz w:val="24"/>
          <w:szCs w:val="24"/>
          <w:lang w:val="ro-RO"/>
        </w:rPr>
        <w:t>Ruseni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să depună cererea de finanțare a proiectului investițional, cu dreptul de a semna contractul de </w:t>
      </w:r>
      <w:r w:rsidR="00886DA9">
        <w:rPr>
          <w:rFonts w:ascii="Times New Roman" w:hAnsi="Times New Roman" w:cs="Times New Roman"/>
          <w:color w:val="000000"/>
          <w:sz w:val="24"/>
          <w:szCs w:val="24"/>
          <w:lang w:val="ro-RO"/>
        </w:rPr>
        <w:t>finanțare</w:t>
      </w:r>
      <w:r w:rsidRPr="00B8311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și alte acte administrative.</w:t>
      </w:r>
    </w:p>
    <w:p w:rsidR="002907B3" w:rsidRPr="00E02DE6" w:rsidRDefault="000C7C6D" w:rsidP="00893E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notificată autorității publice emitente de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Oficiului Teritoria</w:t>
      </w:r>
      <w:r w:rsidR="002907B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l </w:t>
      </w:r>
      <w:r w:rsidR="002907B3" w:rsidRPr="00E02DE6">
        <w:rPr>
          <w:rFonts w:ascii="Times New Roman" w:hAnsi="Times New Roman" w:cs="Times New Roman"/>
          <w:color w:val="000000"/>
          <w:sz w:val="24"/>
          <w:szCs w:val="24"/>
          <w:lang w:val="ro-RO"/>
        </w:rPr>
        <w:t>Căușeni al Cancelariei de Stat în termen de 30 de zile de la data includerii actului în   Registrul de stat al actelor locale.</w:t>
      </w:r>
    </w:p>
    <w:p w:rsidR="002907B3" w:rsidRPr="00E02DE6" w:rsidRDefault="000C7C6D" w:rsidP="00893EB7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. Prezenta decizie, poate fi contestată de persoana interesată, prin intermediul Judecătoriei Anenii Noi,sediul Central , 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în termen de 30 de zile de la co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 xml:space="preserve">municare. </w:t>
      </w:r>
    </w:p>
    <w:p w:rsidR="002907B3" w:rsidRPr="003532E7" w:rsidRDefault="000C7C6D" w:rsidP="00893E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2907B3" w:rsidRPr="00E02DE6">
        <w:rPr>
          <w:rFonts w:ascii="Times New Roman" w:hAnsi="Times New Roman" w:cs="Times New Roman"/>
          <w:sz w:val="24"/>
          <w:szCs w:val="24"/>
          <w:lang w:val="ro-RO"/>
        </w:rPr>
        <w:t>. Controlul asupra executării prezentei decizii se atribuie dlui Mațarin A., primar</w:t>
      </w:r>
      <w:r w:rsidR="002907B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907B3" w:rsidRDefault="002907B3" w:rsidP="00886D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</w:p>
    <w:p w:rsidR="002907B3" w:rsidRDefault="002907B3" w:rsidP="002907B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822B8" w:rsidRDefault="002907B3" w:rsidP="00382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Contrasemnează:</w:t>
      </w:r>
    </w:p>
    <w:p w:rsidR="002907B3" w:rsidRDefault="002907B3" w:rsidP="00382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Secretara Consiliului orășenesc                                                   Rodica Melnic</w:t>
      </w: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VIZEAZĂ: A. Maţarin                       T. Guzo                              L. Chirilenco</w:t>
      </w:r>
    </w:p>
    <w:p w:rsidR="00133F12" w:rsidRDefault="00133F12" w:rsidP="002907B3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72D8" w:rsidRDefault="00AD72D8" w:rsidP="002907B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907B3" w:rsidRDefault="00AD72D8" w:rsidP="002907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lastRenderedPageBreak/>
        <w:t>Votat:  pro -  , contra - , abţinut –</w:t>
      </w:r>
    </w:p>
    <w:p w:rsidR="002907B3" w:rsidRDefault="002907B3" w:rsidP="002907B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893EB7" w:rsidRPr="00843AAC" w:rsidRDefault="00893EB7" w:rsidP="00893EB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Notă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informativă</w:t>
      </w:r>
      <w:proofErr w:type="spellEnd"/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deci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ziei  </w:t>
      </w:r>
    </w:p>
    <w:p w:rsidR="00893EB7" w:rsidRDefault="00893EB7" w:rsidP="00893E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86DA9" w:rsidRDefault="00893EB7" w:rsidP="006B56FB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1F55">
        <w:rPr>
          <w:rFonts w:ascii="Times New Roman" w:hAnsi="Times New Roman" w:cs="Times New Roman"/>
          <w:sz w:val="24"/>
          <w:szCs w:val="24"/>
          <w:lang w:val="ro-RO"/>
        </w:rPr>
        <w:t>Cu privire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771F55">
        <w:rPr>
          <w:rFonts w:ascii="Times New Roman" w:hAnsi="Times New Roman" w:cs="Times New Roman"/>
          <w:sz w:val="24"/>
          <w:szCs w:val="24"/>
          <w:lang w:val="ro-RO"/>
        </w:rPr>
        <w:t xml:space="preserve"> alocarea contribuției pentru proiectul </w:t>
      </w:r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>Spațiu</w:t>
      </w:r>
      <w:proofErr w:type="spellEnd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 xml:space="preserve"> public urban </w:t>
      </w:r>
      <w:proofErr w:type="spellStart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>prietenos</w:t>
      </w:r>
      <w:proofErr w:type="spellEnd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>vârstnicilor</w:t>
      </w:r>
      <w:proofErr w:type="spellEnd"/>
      <w:r w:rsidR="00886DA9" w:rsidRPr="00512D2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B56FB" w:rsidRDefault="00893EB7" w:rsidP="006B56FB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1F55">
        <w:rPr>
          <w:rFonts w:ascii="Times New Roman" w:hAnsi="Times New Roman" w:cs="Times New Roman"/>
          <w:sz w:val="24"/>
          <w:szCs w:val="24"/>
          <w:lang w:val="en-US"/>
        </w:rPr>
        <w:t>depus</w:t>
      </w:r>
      <w:proofErr w:type="spellEnd"/>
      <w:proofErr w:type="gram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F55"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Pr="00771F5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B56FB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="006B56F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B56FB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="006B5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56F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6B5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56FB">
        <w:rPr>
          <w:rFonts w:ascii="Times New Roman" w:hAnsi="Times New Roman" w:cs="Times New Roman"/>
          <w:sz w:val="24"/>
          <w:szCs w:val="24"/>
          <w:lang w:val="en-US"/>
        </w:rPr>
        <w:t>Reforme</w:t>
      </w:r>
      <w:proofErr w:type="spellEnd"/>
    </w:p>
    <w:p w:rsidR="006B56FB" w:rsidRPr="00893EB7" w:rsidRDefault="006B56FB" w:rsidP="006B56FB">
      <w:pPr>
        <w:pStyle w:val="a6"/>
        <w:jc w:val="center"/>
        <w:rPr>
          <w:rStyle w:val="FontStyle21"/>
          <w:rFonts w:cs="Times New Roman"/>
          <w:b w:val="0"/>
          <w:sz w:val="24"/>
          <w:szCs w:val="24"/>
          <w:lang w:val="ro-MO"/>
        </w:rPr>
      </w:pP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gramStart"/>
      <w:r w:rsidRPr="00893EB7">
        <w:rPr>
          <w:rFonts w:ascii="Times New Roman" w:hAnsi="Times New Roman" w:cs="Times New Roman"/>
          <w:sz w:val="24"/>
          <w:szCs w:val="24"/>
          <w:lang w:val="en-US"/>
        </w:rPr>
        <w:t>AO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Anenii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DOR</w:t>
      </w:r>
      <w:r w:rsidRPr="00893EB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Instigare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Democrație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IV-a</w:t>
      </w:r>
      <w:r w:rsidRPr="00893EB7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6B56FB" w:rsidRDefault="006B56FB" w:rsidP="006B56FB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3EB7" w:rsidRPr="006B56FB" w:rsidRDefault="00893EB7" w:rsidP="00893EB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81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0479"/>
      </w:tblGrid>
      <w:tr w:rsidR="00893EB7" w:rsidRPr="00512D23" w:rsidTr="00A15582">
        <w:trPr>
          <w:trHeight w:val="32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participanţilor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512D23" w:rsidTr="00A15582">
        <w:trPr>
          <w:trHeight w:val="5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Default="00893EB7" w:rsidP="00A15582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specialiştii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Anenii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atragerii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specialist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planificare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93EB7" w:rsidRPr="00512D23" w:rsidTr="00A15582">
        <w:trPr>
          <w:trHeight w:val="2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finalităţile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elaborat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1A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baza cerințelor concursului de finanțare. 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Principalele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prevederi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evidenţierea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elementelor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noi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B7" w:rsidRPr="00A51A90" w:rsidRDefault="00893EB7" w:rsidP="00A15582">
            <w:pPr>
              <w:autoSpaceDN w:val="0"/>
              <w:spacing w:after="0" w:line="240" w:lineRule="auto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B7" w:rsidRPr="00A515E5" w:rsidRDefault="00893EB7" w:rsidP="006B56FB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prevede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obligatorii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="006B56FB" w:rsidRPr="0051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Spațiu</w:t>
            </w:r>
            <w:proofErr w:type="spellEnd"/>
            <w:r w:rsidR="006B56FB" w:rsidRPr="0051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 urban </w:t>
            </w:r>
            <w:proofErr w:type="spellStart"/>
            <w:r w:rsidR="006B56FB" w:rsidRPr="0051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prietenos</w:t>
            </w:r>
            <w:proofErr w:type="spellEnd"/>
            <w:r w:rsidR="006B56FB" w:rsidRPr="0051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56FB" w:rsidRPr="0051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vârstnicilor</w:t>
            </w:r>
            <w:proofErr w:type="spellEnd"/>
            <w:r w:rsidRPr="00756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756E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Fundamentarea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economico-financiară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ind w:firstLine="7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mplementarea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prevede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cheltuieli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suportate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3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încorporare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actului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vigoare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încorporează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necesită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anularea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sau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abrogarea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altor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acte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administrative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raport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normativ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național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menirea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armonizeze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cadrul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institutional la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legislației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vigoare</w:t>
            </w:r>
            <w:proofErr w:type="spellEnd"/>
            <w:r w:rsidRPr="00A51A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Avizarea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consultarea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publică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proiectului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primăriei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anticorupţie</w:t>
            </w:r>
            <w:proofErr w:type="spellEnd"/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  <w:proofErr w:type="spellStart"/>
            <w:r w:rsidRPr="00C312BA">
              <w:rPr>
                <w:lang w:val="en-GB"/>
              </w:rPr>
              <w:t>În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temeiul</w:t>
            </w:r>
            <w:proofErr w:type="spellEnd"/>
            <w:r w:rsidRPr="00C312BA">
              <w:rPr>
                <w:lang w:val="en-GB"/>
              </w:rPr>
              <w:t xml:space="preserve"> art. 35 al </w:t>
            </w:r>
            <w:proofErr w:type="spellStart"/>
            <w:r w:rsidRPr="00C312BA">
              <w:rPr>
                <w:lang w:val="en-GB"/>
              </w:rPr>
              <w:t>Legii</w:t>
            </w:r>
            <w:proofErr w:type="spellEnd"/>
            <w:r w:rsidRPr="00C312BA">
              <w:rPr>
                <w:lang w:val="en-GB"/>
              </w:rPr>
              <w:t xml:space="preserve"> nr. 100/2017, cu </w:t>
            </w:r>
            <w:proofErr w:type="spellStart"/>
            <w:r w:rsidRPr="00C312BA">
              <w:rPr>
                <w:lang w:val="en-GB"/>
              </w:rPr>
              <w:t>privire</w:t>
            </w:r>
            <w:proofErr w:type="spellEnd"/>
            <w:r w:rsidRPr="00C312BA">
              <w:rPr>
                <w:lang w:val="en-GB"/>
              </w:rPr>
              <w:t xml:space="preserve"> la </w:t>
            </w:r>
            <w:proofErr w:type="spellStart"/>
            <w:r w:rsidRPr="00C312BA">
              <w:rPr>
                <w:lang w:val="en-GB"/>
              </w:rPr>
              <w:t>actele</w:t>
            </w:r>
            <w:proofErr w:type="spellEnd"/>
            <w:r w:rsidRPr="00C312BA">
              <w:rPr>
                <w:lang w:val="en-GB"/>
              </w:rPr>
              <w:t xml:space="preserve"> normative, </w:t>
            </w:r>
            <w:proofErr w:type="spellStart"/>
            <w:r w:rsidRPr="00C312BA">
              <w:rPr>
                <w:lang w:val="en-GB"/>
              </w:rPr>
              <w:t>expertiza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anticorupţie</w:t>
            </w:r>
            <w:proofErr w:type="spellEnd"/>
            <w:r w:rsidRPr="00C312BA">
              <w:rPr>
                <w:lang w:val="en-GB"/>
              </w:rPr>
              <w:t xml:space="preserve"> a </w:t>
            </w:r>
            <w:proofErr w:type="spellStart"/>
            <w:r w:rsidRPr="00C312BA">
              <w:rPr>
                <w:lang w:val="en-GB"/>
              </w:rPr>
              <w:t>fost</w:t>
            </w:r>
            <w:proofErr w:type="spellEnd"/>
            <w:r w:rsidRPr="00C312BA">
              <w:rPr>
                <w:lang w:val="en-GB"/>
              </w:rPr>
              <w:t xml:space="preserve"> </w:t>
            </w:r>
            <w:proofErr w:type="spellStart"/>
            <w:r w:rsidRPr="00C312BA">
              <w:rPr>
                <w:lang w:val="en-GB"/>
              </w:rPr>
              <w:t>efectuată</w:t>
            </w:r>
            <w:proofErr w:type="spellEnd"/>
            <w:r w:rsidRPr="00C312BA">
              <w:rPr>
                <w:lang w:val="en-GB"/>
              </w:rPr>
              <w:t xml:space="preserve"> de </w:t>
            </w:r>
            <w:proofErr w:type="spellStart"/>
            <w:r w:rsidRPr="00C312BA">
              <w:rPr>
                <w:lang w:val="en-GB"/>
              </w:rPr>
              <w:t>autor</w:t>
            </w:r>
            <w:proofErr w:type="spellEnd"/>
            <w:r w:rsidRPr="00C312BA">
              <w:rPr>
                <w:lang w:val="en-GB"/>
              </w:rPr>
              <w:t xml:space="preserve">. </w:t>
            </w:r>
            <w:proofErr w:type="spellStart"/>
            <w:r w:rsidRPr="00A51A90">
              <w:t>Proiectul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nu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conţine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reglementări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ce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ar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favoriza</w:t>
            </w:r>
            <w:proofErr w:type="spellEnd"/>
            <w:r w:rsidRPr="00A51A90">
              <w:t xml:space="preserve"> </w:t>
            </w:r>
            <w:proofErr w:type="spellStart"/>
            <w:r w:rsidRPr="00A51A90">
              <w:t>corupţia</w:t>
            </w:r>
            <w:proofErr w:type="spellEnd"/>
            <w:r w:rsidRPr="00A51A90">
              <w:t>.</w:t>
            </w:r>
          </w:p>
          <w:p w:rsidR="00893EB7" w:rsidRPr="00A51A90" w:rsidRDefault="00893EB7" w:rsidP="00A15582">
            <w:pPr>
              <w:pStyle w:val="ab"/>
              <w:spacing w:before="108" w:line="276" w:lineRule="auto"/>
              <w:ind w:right="128"/>
              <w:jc w:val="both"/>
            </w:pPr>
          </w:p>
        </w:tc>
      </w:tr>
      <w:tr w:rsidR="00893EB7" w:rsidRPr="00A51A90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1A9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Constatările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expertizei</w:t>
            </w:r>
            <w:proofErr w:type="spellEnd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A90">
              <w:rPr>
                <w:rFonts w:ascii="Times New Roman" w:hAnsi="Times New Roman"/>
                <w:b/>
                <w:sz w:val="24"/>
                <w:szCs w:val="24"/>
              </w:rPr>
              <w:t>juridice</w:t>
            </w:r>
            <w:proofErr w:type="spellEnd"/>
          </w:p>
        </w:tc>
      </w:tr>
      <w:tr w:rsidR="00893EB7" w:rsidRPr="00512D23" w:rsidTr="00A1558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Proiectul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decizie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prezintă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consultative de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Consiliului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orăşenesc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adoptare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A51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3EB7" w:rsidRPr="00A51A90" w:rsidRDefault="00893EB7" w:rsidP="00A15582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3EB7" w:rsidRPr="00A51A90" w:rsidRDefault="00893EB7" w:rsidP="00893EB7">
      <w:pPr>
        <w:rPr>
          <w:lang w:val="en-US"/>
        </w:rPr>
      </w:pP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Specialistă superioară</w:t>
      </w:r>
      <w:r w:rsidRPr="0002075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93EB7" w:rsidRPr="0002075A" w:rsidRDefault="00893EB7" w:rsidP="00893EB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Tatiana Guzo</w:t>
      </w:r>
    </w:p>
    <w:p w:rsidR="00A014AD" w:rsidRDefault="00A014AD" w:rsidP="00893E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014AD" w:rsidSect="003822B8">
      <w:pgSz w:w="11906" w:h="16838"/>
      <w:pgMar w:top="28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1B50"/>
    <w:multiLevelType w:val="hybridMultilevel"/>
    <w:tmpl w:val="26247576"/>
    <w:lvl w:ilvl="0" w:tplc="D4EAC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D14CB"/>
    <w:multiLevelType w:val="hybridMultilevel"/>
    <w:tmpl w:val="92F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7B7"/>
    <w:rsid w:val="00050AA4"/>
    <w:rsid w:val="0008321D"/>
    <w:rsid w:val="000B2880"/>
    <w:rsid w:val="000C7C6D"/>
    <w:rsid w:val="000F3D51"/>
    <w:rsid w:val="00133F12"/>
    <w:rsid w:val="00136C38"/>
    <w:rsid w:val="00167F83"/>
    <w:rsid w:val="001E1327"/>
    <w:rsid w:val="00212F84"/>
    <w:rsid w:val="00265A75"/>
    <w:rsid w:val="002907B3"/>
    <w:rsid w:val="002D3BCA"/>
    <w:rsid w:val="002F47B7"/>
    <w:rsid w:val="00321B47"/>
    <w:rsid w:val="003274B8"/>
    <w:rsid w:val="00333A85"/>
    <w:rsid w:val="003501A0"/>
    <w:rsid w:val="003822B8"/>
    <w:rsid w:val="003D7021"/>
    <w:rsid w:val="003F564A"/>
    <w:rsid w:val="004048BB"/>
    <w:rsid w:val="0041188F"/>
    <w:rsid w:val="0044745B"/>
    <w:rsid w:val="00476E52"/>
    <w:rsid w:val="004A48D3"/>
    <w:rsid w:val="004A6E55"/>
    <w:rsid w:val="004D5868"/>
    <w:rsid w:val="004F1540"/>
    <w:rsid w:val="00512D23"/>
    <w:rsid w:val="00523944"/>
    <w:rsid w:val="00587056"/>
    <w:rsid w:val="005B2570"/>
    <w:rsid w:val="005B26E4"/>
    <w:rsid w:val="005E23C6"/>
    <w:rsid w:val="00613C87"/>
    <w:rsid w:val="00614684"/>
    <w:rsid w:val="00615B32"/>
    <w:rsid w:val="006B56FB"/>
    <w:rsid w:val="006B5CD6"/>
    <w:rsid w:val="00765FA7"/>
    <w:rsid w:val="007675DD"/>
    <w:rsid w:val="007A04D0"/>
    <w:rsid w:val="007C08DB"/>
    <w:rsid w:val="007D3E57"/>
    <w:rsid w:val="008017C8"/>
    <w:rsid w:val="00834FB7"/>
    <w:rsid w:val="0085452C"/>
    <w:rsid w:val="00886DA9"/>
    <w:rsid w:val="00893EB7"/>
    <w:rsid w:val="00896FB7"/>
    <w:rsid w:val="008B38EB"/>
    <w:rsid w:val="008B4585"/>
    <w:rsid w:val="0091143C"/>
    <w:rsid w:val="00933D8A"/>
    <w:rsid w:val="009439A5"/>
    <w:rsid w:val="009B5A19"/>
    <w:rsid w:val="00A014AD"/>
    <w:rsid w:val="00A35A6F"/>
    <w:rsid w:val="00A50951"/>
    <w:rsid w:val="00A9735D"/>
    <w:rsid w:val="00AC754E"/>
    <w:rsid w:val="00AC75E0"/>
    <w:rsid w:val="00AD72D8"/>
    <w:rsid w:val="00B20589"/>
    <w:rsid w:val="00B23303"/>
    <w:rsid w:val="00BB79FE"/>
    <w:rsid w:val="00C24EBC"/>
    <w:rsid w:val="00C65DE9"/>
    <w:rsid w:val="00CA4196"/>
    <w:rsid w:val="00CD5BEF"/>
    <w:rsid w:val="00CF218E"/>
    <w:rsid w:val="00D211D7"/>
    <w:rsid w:val="00D236B3"/>
    <w:rsid w:val="00D45EEA"/>
    <w:rsid w:val="00D53367"/>
    <w:rsid w:val="00D92FA2"/>
    <w:rsid w:val="00DE5D92"/>
    <w:rsid w:val="00E50843"/>
    <w:rsid w:val="00E7475C"/>
    <w:rsid w:val="00E84306"/>
    <w:rsid w:val="00ED2D8E"/>
    <w:rsid w:val="00F03545"/>
    <w:rsid w:val="00F40F9A"/>
    <w:rsid w:val="00F55748"/>
    <w:rsid w:val="00F561AA"/>
    <w:rsid w:val="00F65F0C"/>
    <w:rsid w:val="00F83F31"/>
    <w:rsid w:val="00FA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2F47B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5CD6"/>
    <w:rPr>
      <w:b/>
      <w:bCs/>
    </w:rPr>
  </w:style>
  <w:style w:type="paragraph" w:styleId="a6">
    <w:name w:val="No Spacing"/>
    <w:link w:val="a7"/>
    <w:uiPriority w:val="1"/>
    <w:qFormat/>
    <w:rsid w:val="006B5CD6"/>
    <w:pPr>
      <w:spacing w:after="0" w:line="240" w:lineRule="auto"/>
    </w:pPr>
  </w:style>
  <w:style w:type="paragraph" w:customStyle="1" w:styleId="Default">
    <w:name w:val="Default"/>
    <w:rsid w:val="003F5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ubtle Emphasis"/>
    <w:uiPriority w:val="19"/>
    <w:qFormat/>
    <w:rsid w:val="003F564A"/>
    <w:rPr>
      <w:i/>
      <w:iCs/>
      <w:color w:val="808080"/>
    </w:rPr>
  </w:style>
  <w:style w:type="table" w:styleId="a9">
    <w:name w:val="Table Grid"/>
    <w:basedOn w:val="a1"/>
    <w:uiPriority w:val="59"/>
    <w:rsid w:val="001E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75C"/>
    <w:pPr>
      <w:ind w:left="720"/>
      <w:contextualSpacing/>
    </w:pPr>
    <w:rPr>
      <w:rFonts w:eastAsiaTheme="minorHAnsi"/>
      <w:lang w:eastAsia="en-US"/>
    </w:rPr>
  </w:style>
  <w:style w:type="paragraph" w:customStyle="1" w:styleId="Listparagraf1">
    <w:name w:val="Listă paragraf1"/>
    <w:basedOn w:val="a"/>
    <w:qFormat/>
    <w:rsid w:val="00896FB7"/>
    <w:pPr>
      <w:ind w:left="720"/>
      <w:contextualSpacing/>
    </w:pPr>
    <w:rPr>
      <w:rFonts w:ascii="Calibri" w:eastAsia="Calibri" w:hAnsi="Calibri" w:cs="Times New Roman"/>
      <w:lang w:val="ro-RO" w:eastAsia="en-US"/>
    </w:rPr>
  </w:style>
  <w:style w:type="paragraph" w:customStyle="1" w:styleId="Style6">
    <w:name w:val="Style6"/>
    <w:basedOn w:val="a"/>
    <w:uiPriority w:val="99"/>
    <w:rsid w:val="00E843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84306"/>
    <w:rPr>
      <w:rFonts w:ascii="Times New Roman" w:hAnsi="Times New Roman"/>
      <w:b/>
      <w:sz w:val="28"/>
    </w:rPr>
  </w:style>
  <w:style w:type="paragraph" w:styleId="ab">
    <w:name w:val="Normal (Web)"/>
    <w:aliases w:val="Знак,webb,webb Знак Знак"/>
    <w:basedOn w:val="a"/>
    <w:uiPriority w:val="1"/>
    <w:unhideWhenUsed/>
    <w:qFormat/>
    <w:rsid w:val="00AD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D7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3CE493-9F41-4413-95A7-B647807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Kolea</cp:lastModifiedBy>
  <cp:revision>4</cp:revision>
  <cp:lastPrinted>2025-03-07T10:15:00Z</cp:lastPrinted>
  <dcterms:created xsi:type="dcterms:W3CDTF">2025-02-21T09:41:00Z</dcterms:created>
  <dcterms:modified xsi:type="dcterms:W3CDTF">2025-03-07T10:16:00Z</dcterms:modified>
</cp:coreProperties>
</file>