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459" w:type="dxa"/>
        <w:tblLayout w:type="fixed"/>
        <w:tblLook w:val="04A0"/>
      </w:tblPr>
      <w:tblGrid>
        <w:gridCol w:w="4534"/>
        <w:gridCol w:w="660"/>
        <w:gridCol w:w="1043"/>
        <w:gridCol w:w="4716"/>
      </w:tblGrid>
      <w:tr w:rsidR="002907B3" w:rsidRPr="00E02DE6" w:rsidTr="0004761B">
        <w:trPr>
          <w:cantSplit/>
          <w:trHeight w:val="1418"/>
        </w:trPr>
        <w:tc>
          <w:tcPr>
            <w:tcW w:w="4534" w:type="dxa"/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</w:rPr>
              <w:t>CONSILIUL</w:t>
            </w: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 xml:space="preserve"> OR</w:t>
            </w:r>
            <w:r w:rsidRPr="00E02DE6">
              <w:rPr>
                <w:rFonts w:ascii="Times New Roman" w:hAnsi="Times New Roman"/>
                <w:b/>
                <w:szCs w:val="24"/>
                <w:lang w:eastAsia="zh-CN"/>
              </w:rPr>
              <w:t>ĂŞENESC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>ANENII NOI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E02DE6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4380" cy="1005840"/>
                  <wp:effectExtent l="19050" t="0" r="7620" b="0"/>
                  <wp:docPr id="18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ГОРОДСКОЙ СОВЕТ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     АНЕНИЙ НОЙ</w:t>
            </w:r>
          </w:p>
        </w:tc>
      </w:tr>
      <w:tr w:rsidR="002907B3" w:rsidRPr="002B4511" w:rsidTr="002907B3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9B3C89" w:rsidRDefault="00B76953" w:rsidP="002907B3">
            <w:pPr>
              <w:pStyle w:val="1"/>
              <w:tabs>
                <w:tab w:val="left" w:pos="-392"/>
              </w:tabs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 w:rsidRPr="00B76953">
              <w:rPr>
                <w:rFonts w:ascii="Times New Roman" w:hAnsi="Times New Roman" w:cs="Times New Roman"/>
                <w:b w:val="0"/>
                <w:sz w:val="24"/>
                <w:szCs w:val="24"/>
              </w:rPr>
              <w:pict>
                <v:line id="_x0000_s1026" style="position:absolute;left:0;text-align:left;z-index:251658240;mso-position-horizontal-relative:text;mso-position-vertical-relative:text" from="-15.8pt,25.55pt" to="503.8pt,25.5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      <v:stroke linestyle="thinThick"/>
                </v:line>
              </w:pict>
            </w:r>
            <w:r w:rsidR="002907B3"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ro-RO" w:eastAsia="zh-CN"/>
              </w:rPr>
              <w:t xml:space="preserve">x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026522108,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59" w:type="dxa"/>
            <w:gridSpan w:val="2"/>
            <w:hideMark/>
          </w:tcPr>
          <w:p w:rsidR="002907B3" w:rsidRPr="009B3C89" w:rsidRDefault="002907B3" w:rsidP="002907B3">
            <w:pPr>
              <w:pStyle w:val="1"/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6501, г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Анений</w:t>
            </w:r>
            <w:proofErr w:type="spellEnd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Ной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Суворов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893EB7" w:rsidRDefault="0004761B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</w:t>
      </w:r>
      <w:r w:rsidR="002F1D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PROIECT nr. 19</w:t>
      </w:r>
    </w:p>
    <w:p w:rsidR="002907B3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CIZIE nr. 2/___</w:t>
      </w:r>
    </w:p>
    <w:p w:rsidR="002907B3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martie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893EB7" w:rsidRPr="00E02DE6" w:rsidRDefault="00893EB7" w:rsidP="002907B3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93EB7" w:rsidRDefault="00893EB7" w:rsidP="00893EB7">
      <w:pPr>
        <w:pStyle w:val="a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>Cu privire alocarea contribuției pentru proiectul</w:t>
      </w:r>
    </w:p>
    <w:p w:rsidR="00893EB7" w:rsidRDefault="00893EB7" w:rsidP="00893EB7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“Costume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populare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grădinița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Hîrbovățul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893EB7" w:rsidRDefault="00893EB7" w:rsidP="00893EB7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3EB7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proofErr w:type="gram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la GAL ”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Drumul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Vechi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</w:p>
    <w:p w:rsidR="00893EB7" w:rsidRPr="00893EB7" w:rsidRDefault="00893EB7" w:rsidP="00893EB7">
      <w:pPr>
        <w:pStyle w:val="a6"/>
        <w:jc w:val="both"/>
        <w:rPr>
          <w:rStyle w:val="FontStyle21"/>
          <w:rFonts w:cs="Times New Roman"/>
          <w:b w:val="0"/>
          <w:sz w:val="24"/>
          <w:szCs w:val="24"/>
          <w:lang w:val="ro-MO"/>
        </w:rPr>
      </w:pPr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gramStart"/>
      <w:r w:rsidRPr="00893EB7">
        <w:rPr>
          <w:rFonts w:ascii="Times New Roman" w:hAnsi="Times New Roman" w:cs="Times New Roman"/>
          <w:sz w:val="24"/>
          <w:szCs w:val="24"/>
          <w:lang w:val="en-US"/>
        </w:rPr>
        <w:t>AO ”</w:t>
      </w:r>
      <w:proofErr w:type="spellStart"/>
      <w:proofErr w:type="gramEnd"/>
      <w:r w:rsidRPr="00893EB7">
        <w:rPr>
          <w:rFonts w:ascii="Times New Roman" w:hAnsi="Times New Roman" w:cs="Times New Roman"/>
          <w:sz w:val="24"/>
          <w:szCs w:val="24"/>
          <w:lang w:val="en-US"/>
        </w:rPr>
        <w:t>Speranța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Cotunei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1/2025 </w:t>
      </w:r>
      <w:r w:rsidRPr="00893EB7">
        <w:rPr>
          <w:rFonts w:ascii="Times New Roman" w:hAnsi="Times New Roman" w:cs="Times New Roman"/>
          <w:sz w:val="24"/>
          <w:szCs w:val="24"/>
          <w:lang w:val="ro-MO"/>
        </w:rPr>
        <w:t>LEADER.</w:t>
      </w:r>
    </w:p>
    <w:p w:rsidR="002907B3" w:rsidRDefault="002907B3" w:rsidP="002907B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3EB7" w:rsidRPr="00840514" w:rsidRDefault="00893EB7" w:rsidP="002907B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at. 14, alin. (2), lit. f), art. 19 din Legea nr. 436/2006 privind administraţia publică locală; Legea nr. 435/2006 art. 4, lit. (h) privind descentralizarea administrativă; Legea 397-XV din 16.10.2003, privind finanţele publice locale cu modificările şi completările ulterioare; în baza </w:t>
      </w:r>
      <w:r w:rsidR="00AD72D8">
        <w:rPr>
          <w:rFonts w:ascii="Times New Roman" w:hAnsi="Times New Roman" w:cs="Times New Roman"/>
          <w:sz w:val="24"/>
          <w:szCs w:val="24"/>
          <w:lang w:val="ro-RO"/>
        </w:rPr>
        <w:t>concursului anunţat şi a Regulamentului publicat de Consiliul raional Anenii Noi;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având avizul comisiei consultative, Consiliul orășenesc Anenii Noi, </w:t>
      </w:r>
    </w:p>
    <w:p w:rsidR="002907B3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3EB7" w:rsidRPr="00762804" w:rsidRDefault="00893EB7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0C7C6D" w:rsidRPr="00B83112" w:rsidRDefault="000C7C6D" w:rsidP="000C7C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1. Se aprobă iniţiativa de proiect investiţional a Primăriei or. Anenii Noi - </w:t>
      </w:r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“Costume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populare</w:t>
      </w:r>
      <w:proofErr w:type="spellEnd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grădinița</w:t>
      </w:r>
      <w:proofErr w:type="spellEnd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Hîrbovățul</w:t>
      </w:r>
      <w:proofErr w:type="spellEnd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înaintat spre finanţare la AO Grupul de Acţiune Locală „Drumul Vechi Moldovenesc” de către AO „Speranţa </w:t>
      </w:r>
      <w:proofErr w:type="spellStart"/>
      <w:r w:rsidRPr="00B83112">
        <w:rPr>
          <w:rFonts w:ascii="Times New Roman" w:hAnsi="Times New Roman" w:cs="Times New Roman"/>
          <w:sz w:val="24"/>
          <w:szCs w:val="24"/>
          <w:lang w:val="ro-RO"/>
        </w:rPr>
        <w:t>Cotunei</w:t>
      </w:r>
      <w:proofErr w:type="spellEnd"/>
      <w:r w:rsidRPr="00B83112"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0C7C6D" w:rsidRPr="00B83112" w:rsidRDefault="000C7C6D" w:rsidP="000C7C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2. Se aprobă contribuţia Primăriei în cadrul proiectului </w:t>
      </w:r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“Costume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populare</w:t>
      </w:r>
      <w:proofErr w:type="spellEnd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grădinița</w:t>
      </w:r>
      <w:proofErr w:type="spellEnd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Hîrbovățul</w:t>
      </w:r>
      <w:proofErr w:type="spellEnd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7C6D">
        <w:rPr>
          <w:rFonts w:ascii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”,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în mărime de cel puțin 15 % din </w:t>
      </w:r>
      <w:r w:rsidR="00067AA1">
        <w:rPr>
          <w:rFonts w:ascii="Times New Roman" w:hAnsi="Times New Roman" w:cs="Times New Roman"/>
          <w:sz w:val="24"/>
          <w:szCs w:val="24"/>
          <w:lang w:val="ro-RO"/>
        </w:rPr>
        <w:t>soldul disponibil al Primăriei.</w:t>
      </w:r>
    </w:p>
    <w:p w:rsidR="000C7C6D" w:rsidRPr="00B83112" w:rsidRDefault="000C7C6D" w:rsidP="000C7C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83112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2.1 Se alocă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contribuția în mărime de </w:t>
      </w:r>
      <w:r w:rsidRPr="000C7C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11 070</w:t>
      </w:r>
      <w:r w:rsidRPr="00893EB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lei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din costul total al proiectului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investițional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47107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lei),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soldul disponibil</w:t>
      </w:r>
      <w:r w:rsidRPr="00B83112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al primăriei, pentru procurarea </w:t>
      </w:r>
      <w:r w:rsidRPr="00893EB7">
        <w:rPr>
          <w:rFonts w:ascii="Times New Roman" w:hAnsi="Times New Roman" w:cs="Times New Roman"/>
          <w:sz w:val="24"/>
          <w:szCs w:val="24"/>
          <w:lang w:val="ro-RO"/>
        </w:rPr>
        <w:t>costumelor populare şi a panoului informativ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0C7C6D" w:rsidRPr="000C7C6D" w:rsidRDefault="000C7C6D" w:rsidP="000C7C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3. Se împuternicește d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l Alexandru BUDESCU, administrator al AO Societatea Civilă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,,Speranța </w:t>
      </w:r>
      <w:proofErr w:type="spellStart"/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Cotunei</w:t>
      </w:r>
      <w:proofErr w:type="spellEnd"/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” din s. </w:t>
      </w:r>
      <w:proofErr w:type="spellStart"/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Hîrbovățul</w:t>
      </w:r>
      <w:proofErr w:type="spellEnd"/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Nou, să depună cererea de finanțare a proiectului investițional, cu dreptul de a semna contractul de acordare a subvențiilor în avans și alte acte administrative.</w:t>
      </w:r>
    </w:p>
    <w:p w:rsidR="002907B3" w:rsidRPr="00E02DE6" w:rsidRDefault="000C7C6D" w:rsidP="00893EB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notificată autorității publice emitente de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Oficiului Teritoria</w:t>
      </w:r>
      <w:r w:rsidR="002907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Căușeni al Cancelariei de Stat în termen de 30 de zile de la data includerii actului în   Registrul de stat al actelor locale.</w:t>
      </w:r>
    </w:p>
    <w:p w:rsidR="002907B3" w:rsidRPr="00E02DE6" w:rsidRDefault="000C7C6D" w:rsidP="00893EB7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Judecătoriei Anenii Noi,sediul Central , 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în termen de 30 de zile de la co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municare. </w:t>
      </w:r>
    </w:p>
    <w:p w:rsidR="002907B3" w:rsidRPr="003532E7" w:rsidRDefault="000C7C6D" w:rsidP="00893EB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Controlul asupra executării prezentei decizii se atribuie dlui </w:t>
      </w:r>
      <w:proofErr w:type="spellStart"/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>Mațarin</w:t>
      </w:r>
      <w:proofErr w:type="spellEnd"/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 A., primar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Președintele ședinței:                                                                    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Contrasemnează:</w:t>
      </w:r>
    </w:p>
    <w:p w:rsidR="002907B3" w:rsidRDefault="002907B3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Consiliului orășenesc                                                   Rodica Melnic</w:t>
      </w: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3F12" w:rsidRDefault="00133F12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AD72D8" w:rsidP="002907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Votat:  pro -  , contra - , abţinut –</w:t>
      </w:r>
    </w:p>
    <w:p w:rsidR="002907B3" w:rsidRDefault="002907B3" w:rsidP="002907B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93EB7" w:rsidRPr="00843AAC" w:rsidRDefault="00893EB7" w:rsidP="00893EB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Notă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informativă</w:t>
      </w:r>
      <w:proofErr w:type="spellEnd"/>
    </w:p>
    <w:p w:rsidR="00893EB7" w:rsidRDefault="00893EB7" w:rsidP="00893E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la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deci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ziei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</w:p>
    <w:p w:rsidR="00893EB7" w:rsidRDefault="00893EB7" w:rsidP="00893E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93EB7" w:rsidRPr="00771F55" w:rsidRDefault="00893EB7" w:rsidP="00893EB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771F55">
        <w:rPr>
          <w:rFonts w:ascii="Times New Roman" w:hAnsi="Times New Roman" w:cs="Times New Roman"/>
          <w:sz w:val="24"/>
          <w:szCs w:val="24"/>
          <w:lang w:val="ro-RO"/>
        </w:rPr>
        <w:t>Cu privire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Pr="00771F55">
        <w:rPr>
          <w:rFonts w:ascii="Times New Roman" w:hAnsi="Times New Roman" w:cs="Times New Roman"/>
          <w:sz w:val="24"/>
          <w:szCs w:val="24"/>
          <w:lang w:val="ro-RO"/>
        </w:rPr>
        <w:t xml:space="preserve"> alocarea contribuției pentru proiectul </w:t>
      </w:r>
      <w:r w:rsidRPr="007656DC">
        <w:rPr>
          <w:rFonts w:ascii="Times New Roman" w:hAnsi="Times New Roman" w:cs="Times New Roman"/>
          <w:sz w:val="28"/>
          <w:szCs w:val="28"/>
          <w:lang w:val="en-US"/>
        </w:rPr>
        <w:t xml:space="preserve">“Costume </w:t>
      </w:r>
      <w:proofErr w:type="spellStart"/>
      <w:r w:rsidRPr="007656DC">
        <w:rPr>
          <w:rFonts w:ascii="Times New Roman" w:hAnsi="Times New Roman" w:cs="Times New Roman"/>
          <w:sz w:val="28"/>
          <w:szCs w:val="28"/>
          <w:lang w:val="en-US"/>
        </w:rPr>
        <w:t>populare</w:t>
      </w:r>
      <w:proofErr w:type="spellEnd"/>
      <w:r w:rsidRPr="007656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6D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7656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6DC">
        <w:rPr>
          <w:rFonts w:ascii="Times New Roman" w:hAnsi="Times New Roman" w:cs="Times New Roman"/>
          <w:sz w:val="28"/>
          <w:szCs w:val="28"/>
          <w:lang w:val="en-US"/>
        </w:rPr>
        <w:t>grădinița</w:t>
      </w:r>
      <w:proofErr w:type="spellEnd"/>
      <w:r w:rsidRPr="007656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6DC">
        <w:rPr>
          <w:rFonts w:ascii="Times New Roman" w:hAnsi="Times New Roman" w:cs="Times New Roman"/>
          <w:sz w:val="28"/>
          <w:szCs w:val="28"/>
          <w:lang w:val="en-US"/>
        </w:rPr>
        <w:t>Hîrbovățul</w:t>
      </w:r>
      <w:proofErr w:type="spellEnd"/>
      <w:r w:rsidRPr="007656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56DC">
        <w:rPr>
          <w:rFonts w:ascii="Times New Roman" w:hAnsi="Times New Roman" w:cs="Times New Roman"/>
          <w:sz w:val="28"/>
          <w:szCs w:val="28"/>
          <w:lang w:val="en-US"/>
        </w:rPr>
        <w:t>Nou</w:t>
      </w:r>
      <w:proofErr w:type="spellEnd"/>
      <w:r w:rsidRPr="007656D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en-US"/>
        </w:rPr>
        <w:t>GAL 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Drumul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Moldovenesc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de AO 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Speranța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Cotunei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5E23C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E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3C6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5E2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Apelului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1/2025 </w:t>
      </w:r>
      <w:r>
        <w:rPr>
          <w:rFonts w:ascii="Times New Roman" w:hAnsi="Times New Roman" w:cs="Times New Roman"/>
          <w:sz w:val="28"/>
          <w:szCs w:val="28"/>
          <w:lang w:val="ro-MO"/>
        </w:rPr>
        <w:t>LEADER</w:t>
      </w:r>
    </w:p>
    <w:tbl>
      <w:tblPr>
        <w:tblW w:w="1081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0479"/>
      </w:tblGrid>
      <w:tr w:rsidR="00893EB7" w:rsidRPr="00756E61" w:rsidTr="00A15582">
        <w:trPr>
          <w:trHeight w:val="3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893EB7" w:rsidRPr="00756E61" w:rsidTr="00A15582">
        <w:trPr>
          <w:trHeight w:val="5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Default="00893EB7" w:rsidP="00A15582">
            <w:pPr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specialiştii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domeniul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atragerii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investițiilor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planificare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893EB7" w:rsidRPr="00756E61" w:rsidTr="00A15582">
        <w:trPr>
          <w:trHeight w:val="2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893EB7" w:rsidRPr="00756E61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7" w:rsidRPr="00A51A90" w:rsidRDefault="00893EB7" w:rsidP="00A15582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elaborat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51A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baza cerințelor concursului de finanțare. 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893EB7" w:rsidRPr="00756E61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893EB7" w:rsidRPr="00756E61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7" w:rsidRPr="00A51A90" w:rsidRDefault="00893EB7" w:rsidP="00A15582">
            <w:pPr>
              <w:autoSpaceDN w:val="0"/>
              <w:spacing w:after="0" w:line="240" w:lineRule="auto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7" w:rsidRPr="00A515E5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prevede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obligatorii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câștigarea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ulterior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“Costume </w:t>
            </w:r>
            <w:proofErr w:type="spellStart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populare</w:t>
            </w:r>
            <w:proofErr w:type="spellEnd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grădinița</w:t>
            </w:r>
            <w:proofErr w:type="spellEnd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Hîrbovățul</w:t>
            </w:r>
            <w:proofErr w:type="spellEnd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</w:t>
            </w:r>
            <w:proofErr w:type="spellEnd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75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893EB7" w:rsidRPr="00756E61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mplementarea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suportate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3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disponibil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3EB7" w:rsidRPr="00756E61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893EB7" w:rsidRPr="00756E61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încorporează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necesită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anularea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abrogarea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altor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acte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administrative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raport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național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menirea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armonizeze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institutional la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legislației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3EB7" w:rsidRPr="00756E61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893EB7" w:rsidRPr="00756E61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specialiștii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anticorupţie</w:t>
            </w:r>
            <w:proofErr w:type="spellEnd"/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pStyle w:val="ab"/>
              <w:spacing w:before="108" w:line="276" w:lineRule="auto"/>
              <w:ind w:right="128"/>
              <w:jc w:val="both"/>
            </w:pPr>
            <w:proofErr w:type="spellStart"/>
            <w:r w:rsidRPr="00C312BA">
              <w:rPr>
                <w:lang w:val="en-GB"/>
              </w:rPr>
              <w:t>În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temeiul</w:t>
            </w:r>
            <w:proofErr w:type="spellEnd"/>
            <w:r w:rsidRPr="00C312BA">
              <w:rPr>
                <w:lang w:val="en-GB"/>
              </w:rPr>
              <w:t xml:space="preserve"> art. 35 al </w:t>
            </w:r>
            <w:proofErr w:type="spellStart"/>
            <w:r w:rsidRPr="00C312BA">
              <w:rPr>
                <w:lang w:val="en-GB"/>
              </w:rPr>
              <w:t>Legii</w:t>
            </w:r>
            <w:proofErr w:type="spellEnd"/>
            <w:r w:rsidRPr="00C312BA">
              <w:rPr>
                <w:lang w:val="en-GB"/>
              </w:rPr>
              <w:t xml:space="preserve"> nr. 100/2017, cu </w:t>
            </w:r>
            <w:proofErr w:type="spellStart"/>
            <w:r w:rsidRPr="00C312BA">
              <w:rPr>
                <w:lang w:val="en-GB"/>
              </w:rPr>
              <w:t>privire</w:t>
            </w:r>
            <w:proofErr w:type="spellEnd"/>
            <w:r w:rsidRPr="00C312BA">
              <w:rPr>
                <w:lang w:val="en-GB"/>
              </w:rPr>
              <w:t xml:space="preserve"> la </w:t>
            </w:r>
            <w:proofErr w:type="spellStart"/>
            <w:r w:rsidRPr="00C312BA">
              <w:rPr>
                <w:lang w:val="en-GB"/>
              </w:rPr>
              <w:t>actele</w:t>
            </w:r>
            <w:proofErr w:type="spellEnd"/>
            <w:r w:rsidRPr="00C312BA">
              <w:rPr>
                <w:lang w:val="en-GB"/>
              </w:rPr>
              <w:t xml:space="preserve"> normative, </w:t>
            </w:r>
            <w:proofErr w:type="spellStart"/>
            <w:r w:rsidRPr="00C312BA">
              <w:rPr>
                <w:lang w:val="en-GB"/>
              </w:rPr>
              <w:t>expertiza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anticorupţie</w:t>
            </w:r>
            <w:proofErr w:type="spellEnd"/>
            <w:r w:rsidRPr="00C312BA">
              <w:rPr>
                <w:lang w:val="en-GB"/>
              </w:rPr>
              <w:t xml:space="preserve"> a </w:t>
            </w:r>
            <w:proofErr w:type="spellStart"/>
            <w:r w:rsidRPr="00C312BA">
              <w:rPr>
                <w:lang w:val="en-GB"/>
              </w:rPr>
              <w:t>fost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efectuată</w:t>
            </w:r>
            <w:proofErr w:type="spellEnd"/>
            <w:r w:rsidRPr="00C312BA">
              <w:rPr>
                <w:lang w:val="en-GB"/>
              </w:rPr>
              <w:t xml:space="preserve"> de </w:t>
            </w:r>
            <w:proofErr w:type="spellStart"/>
            <w:r w:rsidRPr="00C312BA">
              <w:rPr>
                <w:lang w:val="en-GB"/>
              </w:rPr>
              <w:t>autor</w:t>
            </w:r>
            <w:proofErr w:type="spellEnd"/>
            <w:r w:rsidRPr="00C312BA">
              <w:rPr>
                <w:lang w:val="en-GB"/>
              </w:rPr>
              <w:t xml:space="preserve">. </w:t>
            </w:r>
            <w:proofErr w:type="spellStart"/>
            <w:r w:rsidRPr="00A51A90">
              <w:t>Proiectul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nu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conţine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reglementări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ar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favoriza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corupţia</w:t>
            </w:r>
            <w:proofErr w:type="spellEnd"/>
            <w:r w:rsidRPr="00A51A90">
              <w:t>.</w:t>
            </w:r>
          </w:p>
          <w:p w:rsidR="00893EB7" w:rsidRPr="00A51A90" w:rsidRDefault="00893EB7" w:rsidP="00A15582">
            <w:pPr>
              <w:pStyle w:val="ab"/>
              <w:spacing w:before="108" w:line="276" w:lineRule="auto"/>
              <w:ind w:right="128"/>
              <w:jc w:val="both"/>
            </w:pP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893EB7" w:rsidRPr="00756E61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prezintă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comisiei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orăşenesc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3EB7" w:rsidRPr="00A51A90" w:rsidRDefault="00893EB7" w:rsidP="00893EB7">
      <w:pPr>
        <w:rPr>
          <w:lang w:val="en-US"/>
        </w:rPr>
      </w:pPr>
    </w:p>
    <w:p w:rsidR="00893EB7" w:rsidRPr="0002075A" w:rsidRDefault="00893EB7" w:rsidP="00893EB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Specialistă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superioară</w:t>
      </w:r>
      <w:proofErr w:type="spellEnd"/>
      <w:r w:rsidRPr="0002075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893EB7" w:rsidRPr="0002075A" w:rsidRDefault="00893EB7" w:rsidP="00893EB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Tatiana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Guzo</w:t>
      </w:r>
      <w:proofErr w:type="spellEnd"/>
    </w:p>
    <w:p w:rsidR="00A014AD" w:rsidRDefault="00A014AD" w:rsidP="00893EB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014AD" w:rsidSect="0004761B">
      <w:pgSz w:w="11906" w:h="16838"/>
      <w:pgMar w:top="426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B50"/>
    <w:multiLevelType w:val="hybridMultilevel"/>
    <w:tmpl w:val="26247576"/>
    <w:lvl w:ilvl="0" w:tplc="D4EAC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D14CB"/>
    <w:multiLevelType w:val="hybridMultilevel"/>
    <w:tmpl w:val="92F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7B7"/>
    <w:rsid w:val="0004761B"/>
    <w:rsid w:val="00067AA1"/>
    <w:rsid w:val="0008321D"/>
    <w:rsid w:val="000B2880"/>
    <w:rsid w:val="000C7C6D"/>
    <w:rsid w:val="00133F12"/>
    <w:rsid w:val="00136C38"/>
    <w:rsid w:val="00167F83"/>
    <w:rsid w:val="001E1327"/>
    <w:rsid w:val="00265A75"/>
    <w:rsid w:val="002907B3"/>
    <w:rsid w:val="002D3BCA"/>
    <w:rsid w:val="002F1DEC"/>
    <w:rsid w:val="002F47B7"/>
    <w:rsid w:val="00321B47"/>
    <w:rsid w:val="003274B8"/>
    <w:rsid w:val="00333A85"/>
    <w:rsid w:val="003D7021"/>
    <w:rsid w:val="003F564A"/>
    <w:rsid w:val="004048BB"/>
    <w:rsid w:val="0041188F"/>
    <w:rsid w:val="0044745B"/>
    <w:rsid w:val="00476E52"/>
    <w:rsid w:val="004A2043"/>
    <w:rsid w:val="004A48D3"/>
    <w:rsid w:val="004A6E55"/>
    <w:rsid w:val="004D5868"/>
    <w:rsid w:val="004F1540"/>
    <w:rsid w:val="00523944"/>
    <w:rsid w:val="00587056"/>
    <w:rsid w:val="005B2570"/>
    <w:rsid w:val="005B26E4"/>
    <w:rsid w:val="005E23C6"/>
    <w:rsid w:val="00613C87"/>
    <w:rsid w:val="00614684"/>
    <w:rsid w:val="00615B32"/>
    <w:rsid w:val="006B5CD6"/>
    <w:rsid w:val="00747E65"/>
    <w:rsid w:val="00765FA7"/>
    <w:rsid w:val="007675DD"/>
    <w:rsid w:val="007A04D0"/>
    <w:rsid w:val="007C08DB"/>
    <w:rsid w:val="007D3E57"/>
    <w:rsid w:val="008017C8"/>
    <w:rsid w:val="00834FB7"/>
    <w:rsid w:val="0085452C"/>
    <w:rsid w:val="00893EB7"/>
    <w:rsid w:val="00896FB7"/>
    <w:rsid w:val="008B38EB"/>
    <w:rsid w:val="008B4585"/>
    <w:rsid w:val="0091143C"/>
    <w:rsid w:val="00933D8A"/>
    <w:rsid w:val="009439A5"/>
    <w:rsid w:val="009B5A19"/>
    <w:rsid w:val="00A014AD"/>
    <w:rsid w:val="00A50951"/>
    <w:rsid w:val="00A9735D"/>
    <w:rsid w:val="00AC754E"/>
    <w:rsid w:val="00AC75E0"/>
    <w:rsid w:val="00AD72D8"/>
    <w:rsid w:val="00B20589"/>
    <w:rsid w:val="00B23303"/>
    <w:rsid w:val="00B76953"/>
    <w:rsid w:val="00BB79FE"/>
    <w:rsid w:val="00C24EBC"/>
    <w:rsid w:val="00C65DE9"/>
    <w:rsid w:val="00CA4196"/>
    <w:rsid w:val="00CD5BEF"/>
    <w:rsid w:val="00CF218E"/>
    <w:rsid w:val="00D211D7"/>
    <w:rsid w:val="00D45EEA"/>
    <w:rsid w:val="00D53367"/>
    <w:rsid w:val="00D92FA2"/>
    <w:rsid w:val="00DE5D92"/>
    <w:rsid w:val="00E50843"/>
    <w:rsid w:val="00E7475C"/>
    <w:rsid w:val="00E84306"/>
    <w:rsid w:val="00ED2D8E"/>
    <w:rsid w:val="00F03545"/>
    <w:rsid w:val="00F40F9A"/>
    <w:rsid w:val="00F55748"/>
    <w:rsid w:val="00F561AA"/>
    <w:rsid w:val="00F65F0C"/>
    <w:rsid w:val="00F83F31"/>
    <w:rsid w:val="00FA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rsid w:val="002F47B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5CD6"/>
    <w:rPr>
      <w:b/>
      <w:bCs/>
    </w:rPr>
  </w:style>
  <w:style w:type="paragraph" w:styleId="a6">
    <w:name w:val="No Spacing"/>
    <w:link w:val="a7"/>
    <w:uiPriority w:val="1"/>
    <w:qFormat/>
    <w:rsid w:val="006B5CD6"/>
    <w:pPr>
      <w:spacing w:after="0" w:line="240" w:lineRule="auto"/>
    </w:pPr>
  </w:style>
  <w:style w:type="paragraph" w:customStyle="1" w:styleId="Default">
    <w:name w:val="Default"/>
    <w:rsid w:val="003F5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ubtle Emphasis"/>
    <w:uiPriority w:val="19"/>
    <w:qFormat/>
    <w:rsid w:val="003F564A"/>
    <w:rPr>
      <w:i/>
      <w:iCs/>
      <w:color w:val="808080"/>
    </w:rPr>
  </w:style>
  <w:style w:type="table" w:styleId="a9">
    <w:name w:val="Table Grid"/>
    <w:basedOn w:val="a1"/>
    <w:uiPriority w:val="59"/>
    <w:rsid w:val="001E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475C"/>
    <w:pPr>
      <w:ind w:left="720"/>
      <w:contextualSpacing/>
    </w:pPr>
    <w:rPr>
      <w:rFonts w:eastAsiaTheme="minorHAnsi"/>
      <w:lang w:eastAsia="en-US"/>
    </w:rPr>
  </w:style>
  <w:style w:type="paragraph" w:customStyle="1" w:styleId="Listparagraf1">
    <w:name w:val="Listă paragraf1"/>
    <w:basedOn w:val="a"/>
    <w:qFormat/>
    <w:rsid w:val="00896FB7"/>
    <w:pPr>
      <w:ind w:left="720"/>
      <w:contextualSpacing/>
    </w:pPr>
    <w:rPr>
      <w:rFonts w:ascii="Calibri" w:eastAsia="Calibri" w:hAnsi="Calibri" w:cs="Times New Roman"/>
      <w:lang w:val="ro-RO" w:eastAsia="en-US"/>
    </w:rPr>
  </w:style>
  <w:style w:type="paragraph" w:customStyle="1" w:styleId="Style6">
    <w:name w:val="Style6"/>
    <w:basedOn w:val="a"/>
    <w:uiPriority w:val="99"/>
    <w:rsid w:val="00E843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84306"/>
    <w:rPr>
      <w:rFonts w:ascii="Times New Roman" w:hAnsi="Times New Roman"/>
      <w:b/>
      <w:sz w:val="28"/>
    </w:rPr>
  </w:style>
  <w:style w:type="paragraph" w:styleId="ab">
    <w:name w:val="Normal (Web)"/>
    <w:aliases w:val="Знак,webb,webb Знак Знак"/>
    <w:basedOn w:val="a"/>
    <w:uiPriority w:val="1"/>
    <w:unhideWhenUsed/>
    <w:qFormat/>
    <w:rsid w:val="00AD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D7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337ABF-50F8-4CF4-BD05-558581F3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</dc:creator>
  <cp:lastModifiedBy>Kolea</cp:lastModifiedBy>
  <cp:revision>9</cp:revision>
  <cp:lastPrinted>2025-03-07T10:14:00Z</cp:lastPrinted>
  <dcterms:created xsi:type="dcterms:W3CDTF">2025-02-17T13:11:00Z</dcterms:created>
  <dcterms:modified xsi:type="dcterms:W3CDTF">2025-03-07T10:14:00Z</dcterms:modified>
</cp:coreProperties>
</file>