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1" w:type="dxa"/>
        <w:tblInd w:w="-459" w:type="dxa"/>
        <w:tblLayout w:type="fixed"/>
        <w:tblLook w:val="04A0"/>
      </w:tblPr>
      <w:tblGrid>
        <w:gridCol w:w="4536"/>
        <w:gridCol w:w="660"/>
        <w:gridCol w:w="758"/>
        <w:gridCol w:w="4717"/>
      </w:tblGrid>
      <w:tr w:rsidR="00DD4675" w:rsidTr="00226D9C">
        <w:trPr>
          <w:cantSplit/>
          <w:trHeight w:val="1276"/>
        </w:trPr>
        <w:tc>
          <w:tcPr>
            <w:tcW w:w="4536" w:type="dxa"/>
          </w:tcPr>
          <w:p w:rsidR="00DD4675" w:rsidRPr="00957D45" w:rsidRDefault="00DD4675" w:rsidP="006E6384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DD4675" w:rsidRDefault="00DD4675" w:rsidP="006E6384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</w:p>
          <w:p w:rsidR="00DD4675" w:rsidRDefault="00DD4675" w:rsidP="006E6384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PRIMĂRIA ORAȘULUI</w:t>
            </w:r>
          </w:p>
          <w:p w:rsidR="00DD4675" w:rsidRDefault="00DD4675" w:rsidP="006E6384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DD4675" w:rsidRDefault="00DD4675" w:rsidP="006E6384">
            <w:pPr>
              <w:spacing w:after="0"/>
              <w:ind w:hanging="141"/>
              <w:jc w:val="center"/>
              <w:rPr>
                <w:b/>
                <w:lang w:val="zh-CN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757555" cy="1009015"/>
                  <wp:effectExtent l="0" t="0" r="4445" b="12065"/>
                  <wp:docPr id="607730634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DD4675" w:rsidRDefault="00DD4675" w:rsidP="006E6384">
            <w:pPr>
              <w:pStyle w:val="FR2"/>
              <w:tabs>
                <w:tab w:val="left" w:pos="-392"/>
              </w:tabs>
              <w:spacing w:before="0" w:line="240" w:lineRule="auto"/>
              <w:ind w:left="0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DD4675" w:rsidRDefault="00DD4675" w:rsidP="006E6384">
            <w:pPr>
              <w:pStyle w:val="FR2"/>
              <w:tabs>
                <w:tab w:val="left" w:pos="-392"/>
              </w:tabs>
              <w:spacing w:before="0" w:line="240" w:lineRule="auto"/>
              <w:ind w:left="0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DD4675" w:rsidRDefault="00DD4675" w:rsidP="006E6384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ПРИМАРИЯ ГОРОДА</w:t>
            </w:r>
          </w:p>
          <w:p w:rsidR="00DD4675" w:rsidRDefault="00DD4675" w:rsidP="006E6384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b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АНЕНИЙ НОЙ</w:t>
            </w:r>
          </w:p>
        </w:tc>
      </w:tr>
      <w:tr w:rsidR="00DD4675" w:rsidTr="00B26072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DD4675" w:rsidRDefault="00A173FE" w:rsidP="006E6384">
            <w:pPr>
              <w:pStyle w:val="1"/>
              <w:tabs>
                <w:tab w:val="left" w:pos="-392"/>
              </w:tabs>
              <w:spacing w:before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 w:rsidRPr="00A173FE">
              <w:rPr>
                <w:b w:val="0"/>
                <w:noProof/>
                <w:sz w:val="20"/>
                <w:szCs w:val="20"/>
              </w:rPr>
              <w:pict>
                <v:line id="Conector drept 1113863895" o:spid="_x0000_s1026" style="position:absolute;left:0;text-align:left;z-index:251658240;visibility:visible;mso-wrap-distance-top:-3e-5mm;mso-wrap-distance-bottom:-3e-5mm;mso-position-horizontal-relative:text;mso-position-vertical-relative:text" from="-23.95pt,28.9pt" to="495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" o:allowincell="f" strokeweight="4.5pt">
                  <v:stroke linestyle="thinThick"/>
                  <o:lock v:ext="edit" shapetype="f"/>
                </v:line>
              </w:pict>
            </w:r>
            <w:r w:rsidR="00DD4675">
              <w:rPr>
                <w:rFonts w:ascii="Times New Roman" w:hAnsi="Times New Roman"/>
                <w:sz w:val="18"/>
                <w:szCs w:val="18"/>
                <w:lang w:val="zh-CN"/>
              </w:rPr>
              <w:t>MD 6501 or. Anenii Noi, str. Suvorov, 6</w:t>
            </w:r>
          </w:p>
          <w:p w:rsidR="00DD4675" w:rsidRPr="0094356C" w:rsidRDefault="00DD4675" w:rsidP="006E6384">
            <w:pPr>
              <w:tabs>
                <w:tab w:val="left" w:pos="-675"/>
              </w:tabs>
              <w:spacing w:after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zh-CN"/>
              </w:rPr>
              <w:t xml:space="preserve">tel. 026522665,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5" w:history="1">
              <w:r w:rsidRPr="00097B22">
                <w:rPr>
                  <w:rStyle w:val="a3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DD4675" w:rsidRDefault="00DD4675" w:rsidP="006E6384">
            <w:pPr>
              <w:spacing w:after="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5475" w:type="dxa"/>
            <w:gridSpan w:val="2"/>
          </w:tcPr>
          <w:p w:rsidR="00DD4675" w:rsidRDefault="00DD4675" w:rsidP="006E6384">
            <w:pPr>
              <w:pStyle w:val="1"/>
              <w:spacing w:before="0"/>
              <w:ind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MD </w:t>
            </w:r>
            <w:r>
              <w:rPr>
                <w:rFonts w:ascii="Times New Roman" w:hAnsi="Times New Roman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Анений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Ной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, ул.</w:t>
            </w:r>
            <w:r>
              <w:rPr>
                <w:rFonts w:ascii="Times New Roman" w:hAnsi="Times New Roman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DD4675" w:rsidRDefault="00DD4675" w:rsidP="006E6384">
            <w:pPr>
              <w:spacing w:after="0"/>
              <w:ind w:firstLine="142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 xml:space="preserve">тел. </w:t>
            </w:r>
            <w:r>
              <w:rPr>
                <w:sz w:val="18"/>
                <w:szCs w:val="18"/>
              </w:rPr>
              <w:t>026522665</w:t>
            </w:r>
            <w:r>
              <w:rPr>
                <w:sz w:val="18"/>
                <w:szCs w:val="18"/>
                <w:lang w:val="zh-CN"/>
              </w:rPr>
              <w:t xml:space="preserve">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6" w:history="1">
              <w:r w:rsidRPr="00097B22">
                <w:rPr>
                  <w:rStyle w:val="a3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</w:tr>
    </w:tbl>
    <w:p w:rsidR="006E6384" w:rsidRDefault="006E6384" w:rsidP="006E63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4675" w:rsidRDefault="006E6384" w:rsidP="006E63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</w:t>
      </w:r>
      <w:r w:rsidR="00DD4675" w:rsidRPr="00DD4675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DECIZIE nr. </w:t>
      </w:r>
      <w:r w:rsidR="00DD4675">
        <w:rPr>
          <w:rFonts w:ascii="Times New Roman" w:hAnsi="Times New Roman" w:cs="Times New Roman"/>
          <w:b/>
          <w:sz w:val="24"/>
          <w:szCs w:val="24"/>
          <w:lang w:val="ro-RO"/>
        </w:rPr>
        <w:t>2/___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</w:t>
      </w:r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</w:t>
      </w:r>
      <w:r w:rsidR="005A0492">
        <w:rPr>
          <w:rFonts w:ascii="Times New Roman" w:hAnsi="Times New Roman" w:cs="Times New Roman"/>
          <w:b/>
          <w:sz w:val="24"/>
          <w:szCs w:val="24"/>
          <w:lang w:val="ro-RO"/>
        </w:rPr>
        <w:t>13</w:t>
      </w:r>
    </w:p>
    <w:p w:rsidR="00DD4675" w:rsidRDefault="00DD4675" w:rsidP="006E63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Pr="00DD46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martie</w:t>
      </w:r>
      <w:proofErr w:type="spellEnd"/>
      <w:r w:rsidRPr="00DD46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6E6384" w:rsidRPr="006E6384" w:rsidRDefault="006E6384" w:rsidP="006E63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6034A" w:rsidRPr="006E6384" w:rsidRDefault="0006034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Cu privire la lic</w:t>
      </w:r>
      <w:r w:rsidR="00DD4675"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idarea IM „</w:t>
      </w:r>
      <w:proofErr w:type="spellStart"/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Anproser</w:t>
      </w:r>
      <w:proofErr w:type="spellEnd"/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226D9C" w:rsidRPr="00795CBB" w:rsidRDefault="00D26725" w:rsidP="00795C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r w:rsidR="00DD4675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i</w:t>
      </w:r>
      <w:r w:rsidR="00DD467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D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7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DD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7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DD4675">
        <w:rPr>
          <w:rFonts w:ascii="Times New Roman" w:hAnsi="Times New Roman" w:cs="Times New Roman"/>
          <w:sz w:val="24"/>
          <w:szCs w:val="24"/>
        </w:rPr>
        <w:t xml:space="preserve"> с</w:t>
      </w:r>
      <w:r w:rsidR="00DD467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ÎM ,,</w:t>
      </w:r>
      <w:proofErr w:type="spellStart"/>
      <w:r w:rsidRPr="0006034A">
        <w:rPr>
          <w:rFonts w:ascii="Times New Roman" w:hAnsi="Times New Roman" w:cs="Times New Roman"/>
          <w:sz w:val="24"/>
          <w:szCs w:val="24"/>
          <w:lang w:val="ro-RO"/>
        </w:rPr>
        <w:t>Anproser</w:t>
      </w:r>
      <w:proofErr w:type="spellEnd"/>
      <w:r w:rsidRPr="0006034A"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sistat</w:t>
      </w:r>
      <w:proofErr w:type="spellEnd"/>
      <w:r w:rsidRPr="0006034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r w:rsidRPr="0006034A">
        <w:rPr>
          <w:rFonts w:ascii="Times New Roman" w:hAnsi="Times New Roman" w:cs="Times New Roman"/>
          <w:sz w:val="24"/>
          <w:szCs w:val="24"/>
          <w:lang w:val="ro-RO"/>
        </w:rPr>
        <w:t xml:space="preserve">începând cu anul </w:t>
      </w:r>
      <w:r w:rsidR="003F61B6">
        <w:rPr>
          <w:rFonts w:ascii="Times New Roman" w:hAnsi="Times New Roman" w:cs="Times New Roman"/>
          <w:sz w:val="24"/>
          <w:szCs w:val="24"/>
          <w:lang w:val="ro-RO"/>
        </w:rPr>
        <w:t>2020</w:t>
      </w:r>
      <w:r w:rsidRPr="00060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confo</w:t>
      </w:r>
      <w:r w:rsidRPr="0006034A">
        <w:rPr>
          <w:rFonts w:ascii="Times New Roman" w:hAnsi="Times New Roman" w:cs="Times New Roman"/>
          <w:sz w:val="24"/>
          <w:szCs w:val="24"/>
          <w:lang w:val="ro-RO"/>
        </w:rPr>
        <w:t>rm</w:t>
      </w:r>
      <w:r w:rsidRPr="0006034A">
        <w:rPr>
          <w:rFonts w:ascii="Times New Roman" w:hAnsi="Times New Roman" w:cs="Times New Roman"/>
          <w:sz w:val="24"/>
          <w:szCs w:val="24"/>
        </w:rPr>
        <w:t>itate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r w:rsidR="00226D9C">
        <w:rPr>
          <w:rFonts w:ascii="Times New Roman" w:hAnsi="Times New Roman" w:cs="Times New Roman"/>
          <w:sz w:val="24"/>
          <w:szCs w:val="24"/>
          <w:lang w:val="ro-RO"/>
        </w:rPr>
        <w:t xml:space="preserve">art. 13 din Legea 246/2017 cu privire la întreprinderea de stat şi întreprinderea municipală; </w:t>
      </w:r>
      <w:proofErr w:type="spellStart"/>
      <w:proofErr w:type="gramStart"/>
      <w:r w:rsidRPr="0006034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6034A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DD4675">
        <w:rPr>
          <w:rFonts w:ascii="Times New Roman" w:hAnsi="Times New Roman" w:cs="Times New Roman"/>
          <w:sz w:val="24"/>
          <w:szCs w:val="24"/>
        </w:rPr>
        <w:t xml:space="preserve">. 2З </w:t>
      </w:r>
      <w:proofErr w:type="spellStart"/>
      <w:r w:rsidR="00DD467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DD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7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DD4675">
        <w:rPr>
          <w:rFonts w:ascii="Times New Roman" w:hAnsi="Times New Roman" w:cs="Times New Roman"/>
          <w:sz w:val="24"/>
          <w:szCs w:val="24"/>
        </w:rPr>
        <w:t xml:space="preserve"> пr.220</w:t>
      </w:r>
      <w:r w:rsidR="00DD4675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DD4675">
        <w:rPr>
          <w:rFonts w:ascii="Times New Roman" w:hAnsi="Times New Roman" w:cs="Times New Roman"/>
          <w:sz w:val="24"/>
          <w:szCs w:val="24"/>
        </w:rPr>
        <w:t>200</w:t>
      </w:r>
      <w:r w:rsidRPr="0006034A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ргi</w:t>
      </w:r>
      <w:proofErr w:type="spellEnd"/>
      <w:r w:rsidRPr="0006034A">
        <w:rPr>
          <w:rFonts w:ascii="Times New Roman" w:hAnsi="Times New Roman" w:cs="Times New Roman"/>
          <w:sz w:val="24"/>
          <w:szCs w:val="24"/>
          <w:lang w:val="ro-RO"/>
        </w:rPr>
        <w:t>v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i</w:t>
      </w:r>
      <w:r w:rsidR="00DD4675">
        <w:rPr>
          <w:rFonts w:ascii="Times New Roman" w:hAnsi="Times New Roman" w:cs="Times New Roman"/>
          <w:sz w:val="24"/>
          <w:szCs w:val="24"/>
          <w:lang w:val="ro-RO"/>
        </w:rPr>
        <w:t>nd</w:t>
      </w:r>
      <w:proofErr w:type="spellEnd"/>
      <w:r w:rsidR="00DD4675">
        <w:rPr>
          <w:rFonts w:ascii="Times New Roman" w:hAnsi="Times New Roman" w:cs="Times New Roman"/>
          <w:sz w:val="24"/>
          <w:szCs w:val="24"/>
          <w:lang w:val="ro-RO"/>
        </w:rPr>
        <w:t xml:space="preserve"> înregistrarea de Stat a persoanelor juridice </w:t>
      </w:r>
      <w:r w:rsidRPr="0006034A">
        <w:rPr>
          <w:rFonts w:ascii="Times New Roman" w:hAnsi="Times New Roman" w:cs="Times New Roman"/>
          <w:sz w:val="24"/>
          <w:szCs w:val="24"/>
          <w:lang w:val="ro-RO"/>
        </w:rPr>
        <w:t>şi a întreprinderilor individuale</w:t>
      </w:r>
      <w:r w:rsidR="00DD467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>.</w:t>
      </w:r>
      <w:r w:rsidR="00DD467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D467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DD4675">
        <w:rPr>
          <w:rFonts w:ascii="Times New Roman" w:hAnsi="Times New Roman" w:cs="Times New Roman"/>
          <w:sz w:val="24"/>
          <w:szCs w:val="24"/>
        </w:rPr>
        <w:t>. 34 –</w:t>
      </w:r>
      <w:r w:rsidR="006E6384">
        <w:rPr>
          <w:rFonts w:ascii="Times New Roman" w:hAnsi="Times New Roman" w:cs="Times New Roman"/>
          <w:sz w:val="24"/>
          <w:szCs w:val="24"/>
        </w:rPr>
        <w:t xml:space="preserve"> 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DD4675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DD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7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DD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7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DD4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7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. 845/1992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р</w:t>
      </w:r>
      <w:r w:rsidR="00DD4675">
        <w:rPr>
          <w:rFonts w:ascii="Times New Roman" w:hAnsi="Times New Roman" w:cs="Times New Roman"/>
          <w:sz w:val="24"/>
          <w:szCs w:val="24"/>
          <w:lang w:val="ro-RO"/>
        </w:rPr>
        <w:t>rivir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е 1а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antreprenoriat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r w:rsidR="00DD4675">
        <w:rPr>
          <w:rFonts w:ascii="Times New Roman" w:hAnsi="Times New Roman" w:cs="Times New Roman"/>
          <w:sz w:val="24"/>
          <w:szCs w:val="24"/>
          <w:lang w:val="ro-RO"/>
        </w:rPr>
        <w:t>şi întreprinderi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. 226 - 230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r w:rsidRPr="0006034A">
        <w:rPr>
          <w:rFonts w:ascii="Times New Roman" w:hAnsi="Times New Roman" w:cs="Times New Roman"/>
          <w:sz w:val="24"/>
          <w:szCs w:val="24"/>
          <w:lang w:val="ro-RO"/>
        </w:rPr>
        <w:t>RM</w:t>
      </w:r>
      <w:r w:rsidR="006E6384">
        <w:rPr>
          <w:rFonts w:ascii="Times New Roman" w:hAnsi="Times New Roman" w:cs="Times New Roman"/>
          <w:sz w:val="24"/>
          <w:szCs w:val="24"/>
        </w:rPr>
        <w:t xml:space="preserve"> 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6E6384">
        <w:rPr>
          <w:rFonts w:ascii="Times New Roman" w:hAnsi="Times New Roman" w:cs="Times New Roman"/>
          <w:sz w:val="24"/>
          <w:szCs w:val="24"/>
        </w:rPr>
        <w:t>. 1l07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06034A">
        <w:rPr>
          <w:rFonts w:ascii="Times New Roman" w:hAnsi="Times New Roman" w:cs="Times New Roman"/>
          <w:sz w:val="24"/>
          <w:szCs w:val="24"/>
        </w:rPr>
        <w:t>2002</w:t>
      </w:r>
      <w:proofErr w:type="gramStart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;</w:t>
      </w:r>
      <w:proofErr w:type="gramEnd"/>
      <w:r w:rsidR="006E6384">
        <w:rPr>
          <w:rFonts w:ascii="Times New Roman" w:hAnsi="Times New Roman" w:cs="Times New Roman"/>
          <w:sz w:val="24"/>
          <w:szCs w:val="24"/>
          <w:lang w:val="ro-RO"/>
        </w:rPr>
        <w:t xml:space="preserve"> art.</w:t>
      </w:r>
      <w:r w:rsidR="006E6384">
        <w:rPr>
          <w:rFonts w:ascii="Times New Roman" w:hAnsi="Times New Roman" w:cs="Times New Roman"/>
          <w:sz w:val="24"/>
          <w:szCs w:val="24"/>
        </w:rPr>
        <w:t>118,120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 xml:space="preserve"> ş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6384">
        <w:rPr>
          <w:rFonts w:ascii="Times New Roman" w:hAnsi="Times New Roman" w:cs="Times New Roman"/>
          <w:sz w:val="24"/>
          <w:szCs w:val="24"/>
        </w:rPr>
        <w:t xml:space="preserve"> 1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06034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Cod</w:t>
      </w:r>
      <w:proofErr w:type="spellEnd"/>
      <w:r w:rsidRPr="0006034A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adrninistrativ</w:t>
      </w:r>
      <w:proofErr w:type="spellEnd"/>
      <w:r w:rsid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6E6384">
        <w:rPr>
          <w:rFonts w:ascii="Times New Roman" w:hAnsi="Times New Roman" w:cs="Times New Roman"/>
          <w:sz w:val="24"/>
          <w:szCs w:val="24"/>
        </w:rPr>
        <w:t xml:space="preserve"> R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e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publicii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Moldova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. 116/2018,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mоdif</w:t>
      </w:r>
      <w:r w:rsidRPr="0006034A">
        <w:rPr>
          <w:rFonts w:ascii="Times New Roman" w:hAnsi="Times New Roman" w:cs="Times New Roman"/>
          <w:sz w:val="24"/>
          <w:szCs w:val="24"/>
          <w:lang w:val="ro-RO"/>
        </w:rPr>
        <w:t>icările</w:t>
      </w:r>
      <w:proofErr w:type="spellEnd"/>
      <w:r w:rsidRPr="0006034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ultе</w:t>
      </w:r>
      <w:r w:rsidR="006E6384">
        <w:rPr>
          <w:rFonts w:ascii="Times New Roman" w:hAnsi="Times New Roman" w:cs="Times New Roman"/>
          <w:sz w:val="24"/>
          <w:szCs w:val="24"/>
        </w:rPr>
        <w:t>riоаге</w:t>
      </w:r>
      <w:proofErr w:type="spellEnd"/>
      <w:r w:rsidR="006E6384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034A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. </w:t>
      </w:r>
      <w:r w:rsidRPr="0006034A">
        <w:rPr>
          <w:rFonts w:ascii="Times New Roman" w:hAnsi="Times New Roman" w:cs="Times New Roman"/>
          <w:sz w:val="24"/>
          <w:szCs w:val="24"/>
          <w:lang w:val="ro-RO"/>
        </w:rPr>
        <w:t>14</w:t>
      </w:r>
      <w:r w:rsidR="006F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D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F52D5">
        <w:rPr>
          <w:rFonts w:ascii="Times New Roman" w:hAnsi="Times New Roman" w:cs="Times New Roman"/>
          <w:sz w:val="24"/>
          <w:szCs w:val="24"/>
        </w:rPr>
        <w:t>. (</w:t>
      </w:r>
      <w:r w:rsidR="006F52D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06034A">
        <w:rPr>
          <w:rFonts w:ascii="Times New Roman" w:hAnsi="Times New Roman" w:cs="Times New Roman"/>
          <w:sz w:val="24"/>
          <w:szCs w:val="24"/>
        </w:rPr>
        <w:t xml:space="preserve">) </w:t>
      </w:r>
      <w:r w:rsidRPr="0006034A">
        <w:rPr>
          <w:rFonts w:ascii="Times New Roman" w:hAnsi="Times New Roman" w:cs="Times New Roman"/>
          <w:sz w:val="24"/>
          <w:szCs w:val="24"/>
          <w:lang w:val="ro-RO"/>
        </w:rPr>
        <w:t>ş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34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6034A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. </w:t>
      </w:r>
      <w:r w:rsidR="006F52D5" w:rsidRPr="006F52D5">
        <w:rPr>
          <w:rFonts w:ascii="Times New Roman" w:hAnsi="Times New Roman" w:cs="Times New Roman"/>
          <w:sz w:val="24"/>
          <w:szCs w:val="24"/>
          <w:lang w:val="ro-RO"/>
        </w:rPr>
        <w:t>22 alin. (1)</w:t>
      </w:r>
      <w:r w:rsidRPr="006F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D5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пr</w:t>
      </w:r>
      <w:proofErr w:type="spellEnd"/>
      <w:r w:rsidR="006E6384">
        <w:rPr>
          <w:rFonts w:ascii="Times New Roman" w:hAnsi="Times New Roman" w:cs="Times New Roman"/>
          <w:sz w:val="24"/>
          <w:szCs w:val="24"/>
        </w:rPr>
        <w:t xml:space="preserve">. 436/2006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administ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raţ</w:t>
      </w:r>
      <w:r w:rsidR="006E638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6E6384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6E638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E6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="006E6384">
        <w:rPr>
          <w:rFonts w:ascii="Times New Roman" w:hAnsi="Times New Roman" w:cs="Times New Roman"/>
          <w:sz w:val="24"/>
          <w:szCs w:val="24"/>
          <w:lang w:val="ro-RO"/>
        </w:rPr>
        <w:t>â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384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6E6384">
        <w:rPr>
          <w:rFonts w:ascii="Times New Roman" w:hAnsi="Times New Roman" w:cs="Times New Roman"/>
          <w:sz w:val="24"/>
          <w:szCs w:val="24"/>
          <w:lang w:val="ro-RO"/>
        </w:rPr>
        <w:t>m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isiilor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consultative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4A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06034A">
        <w:rPr>
          <w:rFonts w:ascii="Times New Roman" w:hAnsi="Times New Roman" w:cs="Times New Roman"/>
          <w:sz w:val="24"/>
          <w:szCs w:val="24"/>
        </w:rPr>
        <w:t>, Consiliu1</w:t>
      </w:r>
      <w:r w:rsidR="006E6384">
        <w:rPr>
          <w:rFonts w:ascii="Times New Roman" w:hAnsi="Times New Roman" w:cs="Times New Roman"/>
          <w:sz w:val="24"/>
          <w:szCs w:val="24"/>
        </w:rPr>
        <w:t xml:space="preserve"> 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local Anenii Noi</w:t>
      </w:r>
      <w:r w:rsidRPr="000603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6725" w:rsidRPr="006E6384" w:rsidRDefault="00D26725" w:rsidP="00D2672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6384">
        <w:rPr>
          <w:rFonts w:ascii="Times New Roman" w:hAnsi="Times New Roman" w:cs="Times New Roman"/>
          <w:b/>
          <w:sz w:val="24"/>
          <w:szCs w:val="24"/>
        </w:rPr>
        <w:t>DECIDE:</w:t>
      </w:r>
    </w:p>
    <w:p w:rsidR="00226D9C" w:rsidRPr="00226D9C" w:rsidRDefault="00D26725" w:rsidP="00C4150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E638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6E6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38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  <w:r w:rsidR="005767A2">
        <w:rPr>
          <w:rFonts w:ascii="Times New Roman" w:hAnsi="Times New Roman" w:cs="Times New Roman"/>
          <w:sz w:val="24"/>
          <w:szCs w:val="24"/>
          <w:lang w:val="ro-RO"/>
        </w:rPr>
        <w:t xml:space="preserve">iniţiază procedura de </w:t>
      </w:r>
      <w:proofErr w:type="spellStart"/>
      <w:r w:rsidR="0006034A" w:rsidRPr="006E6384">
        <w:rPr>
          <w:rFonts w:ascii="Times New Roman" w:hAnsi="Times New Roman" w:cs="Times New Roman"/>
          <w:sz w:val="24"/>
          <w:szCs w:val="24"/>
        </w:rPr>
        <w:t>lichid</w:t>
      </w:r>
      <w:proofErr w:type="spellEnd"/>
      <w:r w:rsidR="005767A2">
        <w:rPr>
          <w:rFonts w:ascii="Times New Roman" w:hAnsi="Times New Roman" w:cs="Times New Roman"/>
          <w:sz w:val="24"/>
          <w:szCs w:val="24"/>
          <w:lang w:val="ro-RO"/>
        </w:rPr>
        <w:t>are a</w:t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  <w:r w:rsidR="005767A2">
        <w:rPr>
          <w:rFonts w:ascii="Times New Roman" w:hAnsi="Times New Roman" w:cs="Times New Roman"/>
          <w:sz w:val="24"/>
          <w:szCs w:val="24"/>
          <w:lang w:val="ro-RO"/>
        </w:rPr>
        <w:t>Întreprinderii</w:t>
      </w:r>
      <w:r w:rsidR="00DD4675"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 M</w:t>
      </w:r>
      <w:r w:rsidR="003F61B6">
        <w:rPr>
          <w:rFonts w:ascii="Times New Roman" w:hAnsi="Times New Roman" w:cs="Times New Roman"/>
          <w:sz w:val="24"/>
          <w:szCs w:val="24"/>
          <w:lang w:val="ro-RO"/>
        </w:rPr>
        <w:t>unicipale</w:t>
      </w:r>
      <w:r w:rsidR="00DD4675"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 „ANPROSER”,</w:t>
      </w:r>
      <w:r w:rsidR="003F61B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4150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="003F61B6">
        <w:rPr>
          <w:rFonts w:ascii="Times New Roman" w:hAnsi="Times New Roman" w:cs="Times New Roman"/>
          <w:sz w:val="24"/>
          <w:szCs w:val="24"/>
          <w:lang w:val="ro-RO"/>
        </w:rPr>
        <w:t xml:space="preserve"> IDNO 1003600129358</w:t>
      </w:r>
      <w:r w:rsidR="0006034A" w:rsidRPr="006E6384">
        <w:rPr>
          <w:rFonts w:ascii="Times New Roman" w:hAnsi="Times New Roman" w:cs="Times New Roman"/>
          <w:sz w:val="24"/>
          <w:szCs w:val="24"/>
          <w:lang w:val="ro-RO"/>
        </w:rPr>
        <w:t>, or. Anenii Noi</w:t>
      </w:r>
      <w:r w:rsidR="00795CBB">
        <w:rPr>
          <w:rFonts w:ascii="Times New Roman" w:hAnsi="Times New Roman" w:cs="Times New Roman"/>
          <w:sz w:val="24"/>
          <w:szCs w:val="24"/>
        </w:rPr>
        <w:t>,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proofErr w:type="spellStart"/>
      <w:r w:rsidR="0006034A" w:rsidRPr="006E6384">
        <w:rPr>
          <w:rFonts w:ascii="Times New Roman" w:hAnsi="Times New Roman" w:cs="Times New Roman"/>
          <w:sz w:val="24"/>
          <w:szCs w:val="24"/>
        </w:rPr>
        <w:t>fondator</w:t>
      </w:r>
      <w:proofErr w:type="spellEnd"/>
      <w:r w:rsidR="0006034A" w:rsidRPr="006E6384">
        <w:rPr>
          <w:rFonts w:ascii="Times New Roman" w:hAnsi="Times New Roman" w:cs="Times New Roman"/>
          <w:sz w:val="24"/>
          <w:szCs w:val="24"/>
        </w:rPr>
        <w:t xml:space="preserve"> </w:t>
      </w:r>
      <w:r w:rsidR="00DD4675" w:rsidRPr="006E6384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84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  <w:r w:rsidRPr="006E6384">
        <w:rPr>
          <w:rFonts w:ascii="Times New Roman" w:hAnsi="Times New Roman" w:cs="Times New Roman"/>
          <w:sz w:val="24"/>
          <w:szCs w:val="24"/>
          <w:lang w:val="ro-RO"/>
        </w:rPr>
        <w:t>orăşenesc Anenii Noi</w:t>
      </w:r>
      <w:r w:rsidRPr="006E6384">
        <w:rPr>
          <w:rFonts w:ascii="Times New Roman" w:hAnsi="Times New Roman" w:cs="Times New Roman"/>
          <w:sz w:val="24"/>
          <w:szCs w:val="24"/>
        </w:rPr>
        <w:t>.</w:t>
      </w:r>
    </w:p>
    <w:p w:rsidR="00226D9C" w:rsidRPr="00226D9C" w:rsidRDefault="00D26725" w:rsidP="00B841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38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638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  <w:r w:rsidRPr="006E6384">
        <w:rPr>
          <w:rFonts w:ascii="Times New Roman" w:hAnsi="Times New Roman" w:cs="Times New Roman"/>
          <w:sz w:val="24"/>
          <w:szCs w:val="24"/>
          <w:lang w:val="ro-RO"/>
        </w:rPr>
        <w:t>desemnează</w:t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38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B8411A">
        <w:rPr>
          <w:rFonts w:ascii="Times New Roman" w:hAnsi="Times New Roman" w:cs="Times New Roman"/>
          <w:sz w:val="24"/>
          <w:szCs w:val="24"/>
          <w:lang w:val="ro-RO"/>
        </w:rPr>
        <w:t>Dmitri</w:t>
      </w:r>
      <w:r w:rsidR="00795CBB">
        <w:rPr>
          <w:rFonts w:ascii="Times New Roman" w:hAnsi="Times New Roman" w:cs="Times New Roman"/>
          <w:sz w:val="24"/>
          <w:szCs w:val="24"/>
          <w:lang w:val="ro-RO"/>
        </w:rPr>
        <w:t xml:space="preserve"> CIUR</w:t>
      </w:r>
      <w:r w:rsidRPr="006E6384">
        <w:rPr>
          <w:rFonts w:ascii="Times New Roman" w:hAnsi="Times New Roman" w:cs="Times New Roman"/>
          <w:sz w:val="24"/>
          <w:szCs w:val="24"/>
        </w:rPr>
        <w:t xml:space="preserve">, </w:t>
      </w:r>
      <w:r w:rsidR="00795CBB">
        <w:rPr>
          <w:rFonts w:ascii="Times New Roman" w:hAnsi="Times New Roman" w:cs="Times New Roman"/>
          <w:sz w:val="24"/>
          <w:szCs w:val="24"/>
          <w:lang w:val="ro-RO"/>
        </w:rPr>
        <w:t>vice</w:t>
      </w:r>
      <w:r w:rsidR="0006034A" w:rsidRPr="006E6384">
        <w:rPr>
          <w:rFonts w:ascii="Times New Roman" w:hAnsi="Times New Roman" w:cs="Times New Roman"/>
          <w:sz w:val="24"/>
          <w:szCs w:val="24"/>
          <w:lang w:val="ro-RO"/>
        </w:rPr>
        <w:t>primarul oraşului Anenii Noi</w:t>
      </w:r>
      <w:r w:rsidR="00594657" w:rsidRPr="006E6384">
        <w:rPr>
          <w:rFonts w:ascii="Times New Roman" w:hAnsi="Times New Roman" w:cs="Times New Roman"/>
          <w:sz w:val="24"/>
          <w:szCs w:val="24"/>
        </w:rPr>
        <w:t xml:space="preserve">, </w:t>
      </w:r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94657"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594657"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94657"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</w:rPr>
        <w:t>lichidator</w:t>
      </w:r>
      <w:proofErr w:type="spellEnd"/>
      <w:r w:rsidR="00594657" w:rsidRPr="006E6384">
        <w:rPr>
          <w:rFonts w:ascii="Times New Roman" w:hAnsi="Times New Roman" w:cs="Times New Roman"/>
          <w:sz w:val="24"/>
          <w:szCs w:val="24"/>
        </w:rPr>
        <w:t xml:space="preserve"> </w:t>
      </w:r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şi responsabil de procesul de lichidare 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4657" w:rsidRPr="006E6384">
        <w:rPr>
          <w:rFonts w:ascii="Times New Roman" w:hAnsi="Times New Roman" w:cs="Times New Roman"/>
          <w:sz w:val="24"/>
          <w:szCs w:val="24"/>
        </w:rPr>
        <w:t xml:space="preserve"> </w:t>
      </w:r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>Întreprinderii Municipale</w:t>
      </w:r>
      <w:r w:rsidR="00594657" w:rsidRPr="006E6384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>Anproser</w:t>
      </w:r>
      <w:proofErr w:type="spellEnd"/>
      <w:r w:rsidR="00594657" w:rsidRPr="006E6384">
        <w:rPr>
          <w:rFonts w:ascii="Times New Roman" w:hAnsi="Times New Roman" w:cs="Times New Roman"/>
          <w:sz w:val="24"/>
          <w:szCs w:val="24"/>
        </w:rPr>
        <w:t>"</w:t>
      </w:r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</w:rPr>
        <w:t>саr</w:t>
      </w:r>
      <w:proofErr w:type="spellEnd"/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  <w:r w:rsidR="0006034A" w:rsidRPr="006E6384">
        <w:rPr>
          <w:rFonts w:ascii="Times New Roman" w:hAnsi="Times New Roman" w:cs="Times New Roman"/>
          <w:sz w:val="24"/>
          <w:szCs w:val="24"/>
          <w:lang w:val="ro-RO"/>
        </w:rPr>
        <w:t>în conformitate cu preved</w:t>
      </w:r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6034A"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rile </w:t>
      </w:r>
      <w:r w:rsidR="00594657"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</w:rPr>
        <w:t>legisla</w:t>
      </w:r>
      <w:proofErr w:type="spellEnd"/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>ţ</w:t>
      </w:r>
      <w:proofErr w:type="spellStart"/>
      <w:r w:rsidR="0006034A" w:rsidRPr="006E6384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06034A"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4A" w:rsidRPr="006E638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6034A"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4A" w:rsidRPr="006E6384">
        <w:rPr>
          <w:rFonts w:ascii="Times New Roman" w:hAnsi="Times New Roman" w:cs="Times New Roman"/>
          <w:sz w:val="24"/>
          <w:szCs w:val="24"/>
        </w:rPr>
        <w:t>vigoa</w:t>
      </w:r>
      <w:proofErr w:type="spellEnd"/>
      <w:r w:rsidR="0006034A" w:rsidRPr="006E6384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594657"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594657" w:rsidRPr="006E6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>n</w:t>
      </w:r>
      <w:proofErr w:type="spellStart"/>
      <w:r w:rsidR="00594657" w:rsidRPr="006E6384">
        <w:rPr>
          <w:rFonts w:ascii="Times New Roman" w:hAnsi="Times New Roman" w:cs="Times New Roman"/>
          <w:sz w:val="24"/>
          <w:szCs w:val="24"/>
        </w:rPr>
        <w:t>tгер</w:t>
      </w:r>
      <w:r w:rsidR="00594657" w:rsidRPr="006E6384">
        <w:rPr>
          <w:rFonts w:ascii="Times New Roman" w:hAnsi="Times New Roman" w:cs="Times New Roman"/>
          <w:sz w:val="24"/>
          <w:szCs w:val="24"/>
          <w:lang w:val="ro-RO"/>
        </w:rPr>
        <w:t>rind</w:t>
      </w:r>
      <w:proofErr w:type="spellEnd"/>
      <w:r w:rsidR="000E6C4E">
        <w:rPr>
          <w:rFonts w:ascii="Times New Roman" w:hAnsi="Times New Roman" w:cs="Times New Roman"/>
          <w:sz w:val="24"/>
          <w:szCs w:val="24"/>
        </w:rPr>
        <w:t xml:space="preserve">е </w:t>
      </w:r>
      <w:r w:rsidR="00B8411A">
        <w:rPr>
          <w:rFonts w:ascii="Times New Roman" w:hAnsi="Times New Roman" w:cs="Times New Roman"/>
          <w:sz w:val="24"/>
          <w:szCs w:val="24"/>
          <w:lang w:val="ro-RO"/>
        </w:rPr>
        <w:t>măsurile necesare pentru lichidarea întreprinderii.</w:t>
      </w:r>
      <w:r w:rsidR="00CB29D4" w:rsidRPr="006E638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E6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D9C" w:rsidRPr="006E6384" w:rsidRDefault="00F82978" w:rsidP="006E638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384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D26725" w:rsidRPr="006E6384">
        <w:rPr>
          <w:rFonts w:ascii="Times New Roman" w:hAnsi="Times New Roman" w:cs="Times New Roman"/>
          <w:sz w:val="24"/>
          <w:szCs w:val="24"/>
        </w:rPr>
        <w:t xml:space="preserve">. </w:t>
      </w:r>
      <w:r w:rsidR="00CB29D4"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Cheltuielile aferente procesului de lichidare </w:t>
      </w:r>
      <w:r w:rsidRPr="006E6384">
        <w:rPr>
          <w:rFonts w:ascii="Times New Roman" w:hAnsi="Times New Roman" w:cs="Times New Roman"/>
          <w:sz w:val="24"/>
          <w:szCs w:val="24"/>
          <w:lang w:val="ro-RO"/>
        </w:rPr>
        <w:t>vor fi suportate din contul fondatorului</w:t>
      </w:r>
      <w:r w:rsidR="00B8411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26D9C" w:rsidRPr="00795CBB" w:rsidRDefault="00F82978" w:rsidP="006E63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384">
        <w:rPr>
          <w:rFonts w:ascii="Times New Roman" w:hAnsi="Times New Roman" w:cs="Times New Roman"/>
          <w:sz w:val="24"/>
          <w:szCs w:val="24"/>
          <w:lang w:val="ro-RO"/>
        </w:rPr>
        <w:t>4. Prezenta decizie se aduce la cunoştinţă publică prin plasarea în Registrul de Stat al Actelor Locale, pe pag web şi panoul informativ al instituţiei.</w:t>
      </w:r>
    </w:p>
    <w:p w:rsidR="00F82978" w:rsidRDefault="00F82978" w:rsidP="006E638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5. Prezenta decizie, poate fi notificată autorității publice emitente de </w:t>
      </w:r>
      <w:r w:rsidR="006E6384">
        <w:rPr>
          <w:rFonts w:ascii="Times New Roman" w:hAnsi="Times New Roman" w:cs="Times New Roman"/>
          <w:sz w:val="24"/>
          <w:szCs w:val="24"/>
          <w:lang w:val="ro-RO"/>
        </w:rPr>
        <w:t>OTC</w:t>
      </w:r>
      <w:r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 al Cancelariei de Stat în termen de 30 de zile de la data includerii actului în Registrul de stat al actelor locale.</w:t>
      </w:r>
    </w:p>
    <w:p w:rsidR="00F82978" w:rsidRPr="006E6384" w:rsidRDefault="00F82978" w:rsidP="006E638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6384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Pr="006E6384">
        <w:rPr>
          <w:rFonts w:ascii="Times New Roman" w:hAnsi="Times New Roman" w:cs="Times New Roman"/>
          <w:sz w:val="24"/>
          <w:szCs w:val="24"/>
          <w:lang w:val="ro-RO"/>
        </w:rPr>
        <w:t>. Prezenta decizie, poate fi contestată de persoana interesată, prin intermediul Judecătoriei Că</w:t>
      </w:r>
      <w:r w:rsidRPr="006E6384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şeni, sediul </w:t>
      </w:r>
      <w:r w:rsidRPr="006E6384">
        <w:rPr>
          <w:rFonts w:ascii="Times New Roman" w:eastAsia="Times New Roman" w:hAnsi="Times New Roman" w:cs="Times New Roman"/>
          <w:sz w:val="24"/>
          <w:szCs w:val="24"/>
          <w:lang w:val="ro-RO"/>
        </w:rPr>
        <w:t>Anenii Noi</w:t>
      </w:r>
      <w:r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 (or. Anenii Noi, str. </w:t>
      </w:r>
      <w:proofErr w:type="spellStart"/>
      <w:r w:rsidRPr="006E6384">
        <w:rPr>
          <w:rFonts w:ascii="Times New Roman" w:hAnsi="Times New Roman" w:cs="Times New Roman"/>
          <w:sz w:val="24"/>
          <w:szCs w:val="24"/>
          <w:lang w:val="ro-RO"/>
        </w:rPr>
        <w:t>Marțișor</w:t>
      </w:r>
      <w:proofErr w:type="spellEnd"/>
      <w:r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 nr. 15), în termen de 30 de zile d</w:t>
      </w:r>
      <w:r w:rsidRPr="006E6384">
        <w:rPr>
          <w:rFonts w:ascii="Times New Roman" w:eastAsia="Times New Roman" w:hAnsi="Times New Roman" w:cs="Times New Roman"/>
          <w:sz w:val="24"/>
          <w:szCs w:val="24"/>
          <w:lang w:val="ro-RO"/>
        </w:rPr>
        <w:t>e la comunicare.</w:t>
      </w:r>
    </w:p>
    <w:p w:rsidR="00F82978" w:rsidRPr="006E6384" w:rsidRDefault="006E6384" w:rsidP="006E638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6384">
        <w:rPr>
          <w:rFonts w:ascii="Times New Roman" w:eastAsia="Times New Roman" w:hAnsi="Times New Roman" w:cs="Times New Roman"/>
          <w:sz w:val="24"/>
          <w:szCs w:val="24"/>
          <w:lang w:val="ro-RO"/>
        </w:rPr>
        <w:t>7</w:t>
      </w:r>
      <w:r w:rsidR="00F82978" w:rsidRPr="006E6384">
        <w:rPr>
          <w:rFonts w:ascii="Times New Roman" w:hAnsi="Times New Roman" w:cs="Times New Roman"/>
          <w:sz w:val="24"/>
          <w:szCs w:val="24"/>
          <w:lang w:val="ro-RO"/>
        </w:rPr>
        <w:t xml:space="preserve">. Controlul asupra executării prezentei decizii se atribuie comisiei </w:t>
      </w:r>
      <w:r w:rsidRPr="006E6384">
        <w:rPr>
          <w:rFonts w:ascii="Times New Roman" w:hAnsi="Times New Roman" w:cs="Times New Roman"/>
          <w:sz w:val="24"/>
          <w:szCs w:val="24"/>
          <w:lang w:val="ro-RO"/>
        </w:rPr>
        <w:t>pentru buget şi finanţe a Consiliului or. Anenii Noi</w:t>
      </w:r>
      <w:r w:rsidR="00F82978" w:rsidRPr="006E638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E6384" w:rsidRPr="006E6384" w:rsidRDefault="006E6384" w:rsidP="006E638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6E6384" w:rsidRPr="006E6384" w:rsidRDefault="006E6384" w:rsidP="006E63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63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Președintele ședinței:                                                                      </w:t>
      </w:r>
      <w:r w:rsidRPr="006E63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E6384" w:rsidRPr="006E6384" w:rsidRDefault="006E6384" w:rsidP="006E6384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63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Contrasemnează: </w:t>
      </w:r>
    </w:p>
    <w:p w:rsidR="00B8411A" w:rsidRDefault="00B8411A" w:rsidP="006E6384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</w:t>
      </w:r>
      <w:r w:rsidR="006E6384" w:rsidRPr="006E63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Consiliului orășenesc                                                     Rodica Melnic       </w:t>
      </w:r>
    </w:p>
    <w:p w:rsidR="00B8411A" w:rsidRDefault="00B8411A" w:rsidP="006E6384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8411A" w:rsidRDefault="00B8411A" w:rsidP="006E6384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E6384" w:rsidRPr="006E6384" w:rsidRDefault="006E6384" w:rsidP="006E6384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638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</w:t>
      </w:r>
    </w:p>
    <w:p w:rsidR="006E6384" w:rsidRPr="00B8411A" w:rsidRDefault="00C41506" w:rsidP="006E638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841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6E6384" w:rsidRPr="00B841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411961" w:rsidRDefault="00411961" w:rsidP="006F52D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1961" w:rsidRDefault="00B8411A" w:rsidP="0041196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Votat: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pro-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>,  contra -</w:t>
      </w:r>
      <w:r w:rsidR="00411961" w:rsidRPr="006E6384">
        <w:rPr>
          <w:rFonts w:ascii="Times New Roman" w:hAnsi="Times New Roman" w:cs="Times New Roman"/>
          <w:sz w:val="20"/>
          <w:szCs w:val="20"/>
          <w:lang w:val="ro-RO"/>
        </w:rPr>
        <w:t xml:space="preserve"> ,  abţinut –</w:t>
      </w:r>
    </w:p>
    <w:p w:rsidR="00411961" w:rsidRDefault="00411961" w:rsidP="006F52D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1961" w:rsidRDefault="00411961" w:rsidP="006F52D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8411A" w:rsidRDefault="00B8411A" w:rsidP="006F52D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8411A" w:rsidRDefault="00B8411A" w:rsidP="006F52D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8411A" w:rsidRDefault="00B8411A" w:rsidP="006F52D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8411A" w:rsidRDefault="00B8411A" w:rsidP="006F52D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8411A" w:rsidRDefault="00B8411A" w:rsidP="006F52D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52D5" w:rsidRPr="0098519B" w:rsidRDefault="006F52D5" w:rsidP="006F52D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8519B">
        <w:rPr>
          <w:rFonts w:ascii="Times New Roman" w:hAnsi="Times New Roman"/>
          <w:b/>
          <w:sz w:val="24"/>
          <w:szCs w:val="24"/>
          <w:lang w:val="en-US"/>
        </w:rPr>
        <w:t>Notă</w:t>
      </w:r>
      <w:proofErr w:type="spellEnd"/>
      <w:r w:rsidRPr="0098519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98519B">
        <w:rPr>
          <w:rFonts w:ascii="Times New Roman" w:hAnsi="Times New Roman"/>
          <w:b/>
          <w:sz w:val="24"/>
          <w:szCs w:val="24"/>
          <w:lang w:val="en-US"/>
        </w:rPr>
        <w:t>informativă</w:t>
      </w:r>
      <w:proofErr w:type="spellEnd"/>
    </w:p>
    <w:p w:rsidR="006F52D5" w:rsidRPr="0098519B" w:rsidRDefault="006F52D5" w:rsidP="006F52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proofErr w:type="gramStart"/>
      <w:r w:rsidRPr="0098519B">
        <w:rPr>
          <w:rFonts w:ascii="Times New Roman" w:hAnsi="Times New Roman"/>
          <w:bCs/>
          <w:sz w:val="24"/>
          <w:szCs w:val="24"/>
          <w:lang w:val="en-US"/>
        </w:rPr>
        <w:t>la</w:t>
      </w:r>
      <w:proofErr w:type="gramEnd"/>
      <w:r w:rsidRPr="0098519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8519B">
        <w:rPr>
          <w:rFonts w:ascii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98519B">
        <w:rPr>
          <w:rFonts w:ascii="Times New Roman" w:hAnsi="Times New Roman"/>
          <w:bCs/>
          <w:sz w:val="24"/>
          <w:szCs w:val="24"/>
          <w:lang w:val="en-US"/>
        </w:rPr>
        <w:t xml:space="preserve">  de </w:t>
      </w:r>
      <w:proofErr w:type="spellStart"/>
      <w:r w:rsidRPr="0098519B">
        <w:rPr>
          <w:rFonts w:ascii="Times New Roman" w:hAnsi="Times New Roman"/>
          <w:bCs/>
          <w:sz w:val="24"/>
          <w:szCs w:val="24"/>
          <w:lang w:val="en-US"/>
        </w:rPr>
        <w:t>deci</w:t>
      </w:r>
      <w:r w:rsidRPr="0098519B">
        <w:rPr>
          <w:rFonts w:ascii="Times New Roman" w:hAnsi="Times New Roman"/>
          <w:bCs/>
          <w:sz w:val="24"/>
          <w:szCs w:val="24"/>
          <w:lang w:val="ro-RO"/>
        </w:rPr>
        <w:t>zie</w:t>
      </w:r>
      <w:proofErr w:type="spellEnd"/>
      <w:r w:rsidRPr="0098519B"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</w:p>
    <w:p w:rsidR="006F52D5" w:rsidRPr="006E6384" w:rsidRDefault="006F52D5" w:rsidP="006F52D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8519B">
        <w:rPr>
          <w:rFonts w:ascii="Times New Roman" w:hAnsi="Times New Roman"/>
          <w:b/>
          <w:sz w:val="24"/>
          <w:szCs w:val="24"/>
          <w:lang w:val="ro-RO"/>
        </w:rPr>
        <w:t>„</w:t>
      </w:r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Cu privire la lic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idarea IM „</w:t>
      </w:r>
      <w:proofErr w:type="spellStart"/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Anproser</w:t>
      </w:r>
      <w:proofErr w:type="spellEnd"/>
      <w:r w:rsidRPr="00DD4675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6F52D5" w:rsidRPr="0098519B" w:rsidRDefault="006F52D5" w:rsidP="006F5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9695"/>
      </w:tblGrid>
      <w:tr w:rsidR="006F52D5" w:rsidRPr="00FD2A3E" w:rsidTr="00B26072">
        <w:trPr>
          <w:trHeight w:val="3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6F52D5" w:rsidRPr="00FD2A3E" w:rsidTr="00B26072">
        <w:trPr>
          <w:trHeight w:val="5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2D5" w:rsidRPr="0098519B" w:rsidRDefault="006F52D5" w:rsidP="006F52D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specaliştii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</w:t>
            </w:r>
            <w:proofErr w:type="gram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2A3E"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 w:rsidRPr="00FD2A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A3E"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în coordonare cu primarul oraşului Anenii Noi</w:t>
            </w:r>
          </w:p>
        </w:tc>
      </w:tr>
      <w:tr w:rsidR="006F52D5" w:rsidRPr="00FD2A3E" w:rsidTr="00B26072">
        <w:trPr>
          <w:trHeight w:val="2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6F52D5" w:rsidRPr="00FD2A3E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D5" w:rsidRPr="0098519B" w:rsidRDefault="006F52D5" w:rsidP="00B26072">
            <w:pPr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D5" w:rsidRPr="00C45295" w:rsidRDefault="006F52D5" w:rsidP="00B260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52D5" w:rsidRPr="00FD2A3E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6F52D5" w:rsidRPr="00FD2A3E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D5" w:rsidRPr="0098519B" w:rsidRDefault="006F52D5" w:rsidP="00B26072">
            <w:pPr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D5" w:rsidRPr="00FD2A3E" w:rsidRDefault="006F52D5" w:rsidP="00B26072">
            <w:pPr>
              <w:pStyle w:val="a6"/>
              <w:spacing w:after="0"/>
              <w:ind w:left="90" w:hanging="9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51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Proiectul de decizie prevede acordarea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permisiunii de tăiere şi curăţire sanitară a arborilor şi arbuştilor din spaţiile verzi proprietate publică a oraşului Anenii Noi, conform liste anexate, pentru soluţionarea cererilor de la locuitori cât şi evitarea riscului de accidente </w:t>
            </w:r>
          </w:p>
        </w:tc>
      </w:tr>
      <w:tr w:rsidR="006F52D5" w:rsidRPr="0098519B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6F52D5" w:rsidRPr="00FD2A3E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2D5" w:rsidRPr="0098519B" w:rsidRDefault="006F52D5" w:rsidP="00B26072">
            <w:pPr>
              <w:autoSpaceDN w:val="0"/>
              <w:spacing w:after="0"/>
              <w:ind w:firstLine="7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2D5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Implementarea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financiare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planificate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buget</w:t>
            </w:r>
            <w:proofErr w:type="spellEnd"/>
          </w:p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52D5" w:rsidRPr="00FD2A3E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6F52D5" w:rsidRPr="00FD2A3E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2D5" w:rsidRPr="0098519B" w:rsidRDefault="006F52D5" w:rsidP="00B2607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necisită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modificarea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sau abrogarea unor acte administrative aprobate anterior . </w:t>
            </w:r>
          </w:p>
        </w:tc>
      </w:tr>
      <w:tr w:rsidR="006F52D5" w:rsidRPr="00FD2A3E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6F52D5" w:rsidRPr="00FD2A3E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2D5" w:rsidRDefault="006F52D5" w:rsidP="00B2607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consultat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instituţiile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abilitate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publicazt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pagina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oficială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F52D5" w:rsidRPr="0098519B" w:rsidRDefault="006F52D5" w:rsidP="00B2607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52D5" w:rsidRPr="0098519B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anticorupţie</w:t>
            </w:r>
            <w:proofErr w:type="spellEnd"/>
          </w:p>
        </w:tc>
      </w:tr>
      <w:tr w:rsidR="006F52D5" w:rsidRPr="0098519B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2D5" w:rsidRPr="0098519B" w:rsidRDefault="006F52D5" w:rsidP="00B26072">
            <w:pPr>
              <w:pStyle w:val="a8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  <w:proofErr w:type="spellStart"/>
            <w:r w:rsidRPr="0098519B">
              <w:rPr>
                <w:lang w:val="en-US"/>
              </w:rPr>
              <w:t>În</w:t>
            </w:r>
            <w:proofErr w:type="spellEnd"/>
            <w:r w:rsidRPr="0098519B">
              <w:rPr>
                <w:lang w:val="en-US"/>
              </w:rPr>
              <w:t xml:space="preserve"> </w:t>
            </w:r>
            <w:proofErr w:type="spellStart"/>
            <w:r w:rsidRPr="0098519B">
              <w:rPr>
                <w:lang w:val="en-US"/>
              </w:rPr>
              <w:t>temeiul</w:t>
            </w:r>
            <w:proofErr w:type="spellEnd"/>
            <w:r w:rsidRPr="0098519B">
              <w:rPr>
                <w:lang w:val="en-US"/>
              </w:rPr>
              <w:t xml:space="preserve"> art. 35 al </w:t>
            </w:r>
            <w:proofErr w:type="spellStart"/>
            <w:r w:rsidRPr="0098519B">
              <w:rPr>
                <w:lang w:val="en-US"/>
              </w:rPr>
              <w:t>Legii</w:t>
            </w:r>
            <w:proofErr w:type="spellEnd"/>
            <w:r w:rsidRPr="0098519B">
              <w:rPr>
                <w:lang w:val="en-US"/>
              </w:rPr>
              <w:t xml:space="preserve"> nr. 100/2017, cu </w:t>
            </w:r>
            <w:proofErr w:type="spellStart"/>
            <w:r w:rsidRPr="0098519B">
              <w:rPr>
                <w:lang w:val="en-US"/>
              </w:rPr>
              <w:t>privire</w:t>
            </w:r>
            <w:proofErr w:type="spellEnd"/>
            <w:r w:rsidRPr="0098519B">
              <w:rPr>
                <w:lang w:val="en-US"/>
              </w:rPr>
              <w:t xml:space="preserve"> la </w:t>
            </w:r>
            <w:proofErr w:type="spellStart"/>
            <w:r w:rsidRPr="0098519B">
              <w:rPr>
                <w:lang w:val="en-US"/>
              </w:rPr>
              <w:t>actele</w:t>
            </w:r>
            <w:proofErr w:type="spellEnd"/>
            <w:r w:rsidRPr="0098519B">
              <w:rPr>
                <w:lang w:val="en-US"/>
              </w:rPr>
              <w:t xml:space="preserve"> normative, </w:t>
            </w:r>
            <w:proofErr w:type="spellStart"/>
            <w:r w:rsidRPr="0098519B">
              <w:rPr>
                <w:lang w:val="en-US"/>
              </w:rPr>
              <w:t>expertiza</w:t>
            </w:r>
            <w:proofErr w:type="spellEnd"/>
            <w:r w:rsidRPr="0098519B">
              <w:rPr>
                <w:lang w:val="en-US"/>
              </w:rPr>
              <w:t xml:space="preserve"> </w:t>
            </w:r>
            <w:proofErr w:type="spellStart"/>
            <w:r w:rsidRPr="0098519B">
              <w:rPr>
                <w:lang w:val="en-US"/>
              </w:rPr>
              <w:t>anticorupţie</w:t>
            </w:r>
            <w:proofErr w:type="spellEnd"/>
            <w:r w:rsidRPr="0098519B">
              <w:rPr>
                <w:lang w:val="en-US"/>
              </w:rPr>
              <w:t xml:space="preserve"> a </w:t>
            </w:r>
            <w:proofErr w:type="spellStart"/>
            <w:r w:rsidRPr="0098519B">
              <w:rPr>
                <w:lang w:val="en-US"/>
              </w:rPr>
              <w:t>fost</w:t>
            </w:r>
            <w:proofErr w:type="spellEnd"/>
            <w:r w:rsidRPr="0098519B">
              <w:rPr>
                <w:lang w:val="en-US"/>
              </w:rPr>
              <w:t xml:space="preserve"> </w:t>
            </w:r>
            <w:proofErr w:type="spellStart"/>
            <w:r w:rsidRPr="0098519B">
              <w:rPr>
                <w:lang w:val="en-US"/>
              </w:rPr>
              <w:t>efectuată</w:t>
            </w:r>
            <w:proofErr w:type="spellEnd"/>
            <w:r w:rsidRPr="0098519B">
              <w:rPr>
                <w:lang w:val="en-US"/>
              </w:rPr>
              <w:t xml:space="preserve"> de </w:t>
            </w:r>
            <w:proofErr w:type="spellStart"/>
            <w:r w:rsidRPr="0098519B">
              <w:rPr>
                <w:lang w:val="en-US"/>
              </w:rPr>
              <w:t>autor</w:t>
            </w:r>
            <w:proofErr w:type="spellEnd"/>
            <w:r w:rsidRPr="0098519B">
              <w:rPr>
                <w:lang w:val="en-US"/>
              </w:rPr>
              <w:t xml:space="preserve">. </w:t>
            </w:r>
            <w:proofErr w:type="spellStart"/>
            <w:r w:rsidRPr="0098519B">
              <w:t>Proiectul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nu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conţine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reglementări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ce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ar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favoriza</w:t>
            </w:r>
            <w:proofErr w:type="spellEnd"/>
            <w:r w:rsidRPr="0098519B">
              <w:t xml:space="preserve"> </w:t>
            </w:r>
            <w:proofErr w:type="spellStart"/>
            <w:r w:rsidRPr="0098519B">
              <w:t>corupţia</w:t>
            </w:r>
            <w:proofErr w:type="spellEnd"/>
            <w:r w:rsidRPr="0098519B">
              <w:t>.</w:t>
            </w:r>
          </w:p>
          <w:p w:rsidR="006F52D5" w:rsidRPr="0098519B" w:rsidRDefault="006F52D5" w:rsidP="00B26072">
            <w:pPr>
              <w:pStyle w:val="a8"/>
              <w:spacing w:before="0" w:beforeAutospacing="0" w:after="0" w:afterAutospacing="0" w:line="276" w:lineRule="auto"/>
              <w:jc w:val="both"/>
              <w:rPr>
                <w:lang w:val="ro-RO"/>
              </w:rPr>
            </w:pPr>
          </w:p>
        </w:tc>
      </w:tr>
      <w:tr w:rsidR="006F52D5" w:rsidRPr="0098519B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6F52D5" w:rsidRPr="00FD2A3E" w:rsidTr="00B260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2D5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52D5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52D5" w:rsidRPr="0098519B" w:rsidRDefault="006F52D5" w:rsidP="00B26072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F52D5" w:rsidRPr="0098519B" w:rsidRDefault="006F52D5" w:rsidP="006F52D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F52D5" w:rsidRDefault="006F52D5" w:rsidP="006F52D5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Secretara CO Anenii Noi </w:t>
      </w:r>
    </w:p>
    <w:p w:rsidR="006F52D5" w:rsidRPr="003D52B8" w:rsidRDefault="006F52D5" w:rsidP="006F52D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o-RO"/>
        </w:rPr>
        <w:t>Rodica Melnic</w:t>
      </w:r>
    </w:p>
    <w:p w:rsidR="006F52D5" w:rsidRPr="003D52B8" w:rsidRDefault="006F52D5" w:rsidP="006F52D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F52D5" w:rsidRPr="0098519B" w:rsidRDefault="006F52D5" w:rsidP="006F52D5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6F52D5" w:rsidRDefault="006F52D5" w:rsidP="006F52D5">
      <w:pPr>
        <w:spacing w:after="0" w:line="240" w:lineRule="auto"/>
        <w:rPr>
          <w:lang w:val="ro-RO"/>
        </w:rPr>
      </w:pPr>
    </w:p>
    <w:p w:rsidR="006F52D5" w:rsidRDefault="006F52D5" w:rsidP="006F52D5"/>
    <w:p w:rsidR="006E6384" w:rsidRPr="00F82978" w:rsidRDefault="006E6384" w:rsidP="006E6384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E6384" w:rsidRPr="00F82978" w:rsidSect="006E6384">
      <w:pgSz w:w="11906" w:h="16838"/>
      <w:pgMar w:top="142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25"/>
    <w:rsid w:val="0006034A"/>
    <w:rsid w:val="000E6C4E"/>
    <w:rsid w:val="00106CD6"/>
    <w:rsid w:val="00120A2C"/>
    <w:rsid w:val="00226D9C"/>
    <w:rsid w:val="00382458"/>
    <w:rsid w:val="003F61B6"/>
    <w:rsid w:val="00411961"/>
    <w:rsid w:val="004305BC"/>
    <w:rsid w:val="00433276"/>
    <w:rsid w:val="00523A22"/>
    <w:rsid w:val="005767A2"/>
    <w:rsid w:val="00594657"/>
    <w:rsid w:val="005A0492"/>
    <w:rsid w:val="005E5E6D"/>
    <w:rsid w:val="006E6384"/>
    <w:rsid w:val="006F52D5"/>
    <w:rsid w:val="00795CBB"/>
    <w:rsid w:val="007E3F03"/>
    <w:rsid w:val="00A173FE"/>
    <w:rsid w:val="00AB1788"/>
    <w:rsid w:val="00AC106B"/>
    <w:rsid w:val="00B8411A"/>
    <w:rsid w:val="00C41506"/>
    <w:rsid w:val="00CB29D4"/>
    <w:rsid w:val="00D26725"/>
    <w:rsid w:val="00DD4675"/>
    <w:rsid w:val="00DE1844"/>
    <w:rsid w:val="00DE3A79"/>
    <w:rsid w:val="00E95548"/>
    <w:rsid w:val="00EF4AE4"/>
    <w:rsid w:val="00F82978"/>
    <w:rsid w:val="00FA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76"/>
  </w:style>
  <w:style w:type="paragraph" w:styleId="1">
    <w:name w:val="heading 1"/>
    <w:basedOn w:val="a"/>
    <w:next w:val="a"/>
    <w:link w:val="10"/>
    <w:uiPriority w:val="9"/>
    <w:qFormat/>
    <w:rsid w:val="00DD46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qFormat/>
    <w:rsid w:val="00DD4675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character" w:styleId="a3">
    <w:name w:val="Hyperlink"/>
    <w:basedOn w:val="a0"/>
    <w:uiPriority w:val="99"/>
    <w:unhideWhenUsed/>
    <w:rsid w:val="00DD46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75"/>
    <w:rPr>
      <w:rFonts w:ascii="Tahoma" w:hAnsi="Tahoma" w:cs="Tahoma"/>
      <w:sz w:val="16"/>
      <w:szCs w:val="16"/>
    </w:rPr>
  </w:style>
  <w:style w:type="paragraph" w:styleId="a6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7"/>
    <w:qFormat/>
    <w:rsid w:val="006F52D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aliases w:val="Знак,webb,webb Знак Знак"/>
    <w:basedOn w:val="a"/>
    <w:uiPriority w:val="99"/>
    <w:unhideWhenUsed/>
    <w:qFormat/>
    <w:rsid w:val="006F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6"/>
    <w:locked/>
    <w:rsid w:val="006F52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.anenii-noi@apl.gov.md" TargetMode="External"/><Relationship Id="rId5" Type="http://schemas.openxmlformats.org/officeDocument/2006/relationships/hyperlink" Target="mailto:primaria.anenii-noi@apl.gov.m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Kolea</dc:creator>
  <cp:lastModifiedBy>Kolea</cp:lastModifiedBy>
  <cp:revision>9</cp:revision>
  <cp:lastPrinted>2025-03-07T07:18:00Z</cp:lastPrinted>
  <dcterms:created xsi:type="dcterms:W3CDTF">2025-02-04T13:12:00Z</dcterms:created>
  <dcterms:modified xsi:type="dcterms:W3CDTF">2025-03-07T07:29:00Z</dcterms:modified>
</cp:coreProperties>
</file>