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8" w:type="dxa"/>
        <w:tblInd w:w="-459" w:type="dxa"/>
        <w:tblLayout w:type="fixed"/>
        <w:tblLook w:val="04A0"/>
      </w:tblPr>
      <w:tblGrid>
        <w:gridCol w:w="4678"/>
        <w:gridCol w:w="660"/>
        <w:gridCol w:w="1183"/>
        <w:gridCol w:w="4717"/>
      </w:tblGrid>
      <w:tr w:rsidR="00AD349D" w:rsidTr="00AD349D">
        <w:trPr>
          <w:cantSplit/>
          <w:trHeight w:val="1272"/>
        </w:trPr>
        <w:tc>
          <w:tcPr>
            <w:tcW w:w="4678" w:type="dxa"/>
          </w:tcPr>
          <w:p w:rsidR="00AD349D" w:rsidRPr="00957D45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 w:right="-25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D349D" w:rsidRDefault="00AD349D" w:rsidP="00AD349D">
            <w:pPr>
              <w:ind w:left="284"/>
              <w:jc w:val="center"/>
              <w:rPr>
                <w:b/>
                <w:lang w:val="zh-CN"/>
              </w:rPr>
            </w:pPr>
            <w:r>
              <w:rPr>
                <w:noProof/>
              </w:rPr>
              <w:drawing>
                <wp:inline distT="0" distB="0" distL="114300" distR="114300">
                  <wp:extent cx="757555" cy="1009015"/>
                  <wp:effectExtent l="0" t="0" r="4445" b="12065"/>
                  <wp:docPr id="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AD349D" w:rsidRDefault="00AD349D" w:rsidP="00AD349D">
            <w:pPr>
              <w:pStyle w:val="FR2"/>
              <w:tabs>
                <w:tab w:val="left" w:pos="-392"/>
              </w:tabs>
              <w:spacing w:before="0" w:line="240" w:lineRule="auto"/>
              <w:ind w:left="284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AD349D" w:rsidTr="00AD349D">
        <w:trPr>
          <w:cantSplit/>
          <w:trHeight w:val="62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D349D" w:rsidRDefault="00AD349D" w:rsidP="00AD349D">
            <w:pPr>
              <w:pStyle w:val="1"/>
              <w:tabs>
                <w:tab w:val="left" w:pos="-392"/>
              </w:tabs>
              <w:spacing w:before="0"/>
              <w:ind w:left="284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 w:rsidRPr="00B656D0">
              <w:rPr>
                <w:b w:val="0"/>
                <w:noProof/>
                <w:sz w:val="20"/>
                <w:szCs w:val="20"/>
              </w:rPr>
              <w:pict>
                <v:line id="Conector drept 1113863895" o:spid="_x0000_s1027" style="position:absolute;left:0;text-align:left;z-index:251660288;visibility:visible;mso-wrap-distance-top:-3e-5mm;mso-wrap-distance-bottom:-3e-5mm;mso-position-horizontal-relative:text;mso-position-vertical-relative:text" from="5.25pt,27.1pt" to="524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" o:allowincell="f" strokeweight="4.5pt">
                  <v:stroke linestyle="thinThick"/>
                  <o:lock v:ext="edit" shapetype="f"/>
                </v:line>
              </w:pic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AD349D" w:rsidRPr="0094356C" w:rsidRDefault="00AD349D" w:rsidP="00AD349D">
            <w:pPr>
              <w:tabs>
                <w:tab w:val="left" w:pos="-675"/>
              </w:tabs>
              <w:ind w:left="284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6" w:history="1">
              <w:r w:rsidRPr="00097B22">
                <w:rPr>
                  <w:rStyle w:val="aa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D349D" w:rsidRDefault="00AD349D" w:rsidP="00AD349D">
            <w:pPr>
              <w:ind w:left="284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5900" w:type="dxa"/>
            <w:gridSpan w:val="2"/>
          </w:tcPr>
          <w:p w:rsidR="00AD349D" w:rsidRDefault="00AD349D" w:rsidP="00AD349D">
            <w:pPr>
              <w:pStyle w:val="1"/>
              <w:spacing w:before="0"/>
              <w:ind w:left="284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AD349D" w:rsidRDefault="00AD349D" w:rsidP="00AD349D">
            <w:pPr>
              <w:ind w:left="284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>
              <w:rPr>
                <w:sz w:val="18"/>
                <w:szCs w:val="18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7" w:history="1">
              <w:r w:rsidRPr="00097B22">
                <w:rPr>
                  <w:rStyle w:val="aa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</w:tr>
    </w:tbl>
    <w:p w:rsidR="00AD349D" w:rsidRDefault="00AD349D" w:rsidP="00AD349D">
      <w:pPr>
        <w:rPr>
          <w:b/>
          <w:sz w:val="24"/>
          <w:szCs w:val="24"/>
          <w:lang w:val="ro-RO"/>
        </w:rPr>
      </w:pPr>
    </w:p>
    <w:p w:rsidR="00F463DD" w:rsidRDefault="00F463DD" w:rsidP="00F46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D83DC6">
        <w:rPr>
          <w:rFonts w:ascii="Times New Roman" w:hAnsi="Times New Roman" w:cs="Times New Roman"/>
          <w:b/>
          <w:sz w:val="24"/>
          <w:szCs w:val="24"/>
          <w:lang w:val="ro-RO"/>
        </w:rPr>
        <w:t>CIZIE nr. 1/19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</w:p>
    <w:p w:rsidR="00F463DD" w:rsidRDefault="00F463DD" w:rsidP="00F46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AD349D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ianuarie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F463DD" w:rsidRPr="00E02DE6" w:rsidRDefault="00F463DD" w:rsidP="00F463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463DD" w:rsidRDefault="00F463DD" w:rsidP="00F463D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Cu privire la aprobarea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iniţiativei 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463DD" w:rsidRDefault="00F463DD" w:rsidP="00F463DD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11A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Modernizarea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serviciului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public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salubrizare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</w:t>
      </w:r>
    </w:p>
    <w:p w:rsidR="00F463DD" w:rsidRDefault="00F463DD" w:rsidP="00F463D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Anenii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localitățile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rurale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componență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911A3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463DD" w:rsidRPr="00840514" w:rsidRDefault="00F463DD" w:rsidP="00F463DD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463DD" w:rsidRDefault="00F463DD" w:rsidP="00F463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informaţiei prezentate şi având avizul comisiei consultative, Consiliul orășenesc Anenii Noi, </w:t>
      </w:r>
    </w:p>
    <w:p w:rsidR="00F463DD" w:rsidRDefault="00F463DD" w:rsidP="00F463D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014AD" w:rsidRPr="00F463DD" w:rsidRDefault="00F463DD" w:rsidP="00F463D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63DD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A014AD" w:rsidRPr="001911A3" w:rsidRDefault="00E7475C" w:rsidP="00F463D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11A3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A014AD" w:rsidRPr="001911A3">
        <w:rPr>
          <w:rFonts w:ascii="Times New Roman" w:hAnsi="Times New Roman" w:cs="Times New Roman"/>
          <w:sz w:val="24"/>
          <w:szCs w:val="24"/>
          <w:lang w:val="ro-RO"/>
        </w:rPr>
        <w:t>Se aprobă inițiativ</w:t>
      </w:r>
      <w:r w:rsidR="001911A3" w:rsidRPr="001911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014AD" w:rsidRPr="001911A3">
        <w:rPr>
          <w:rFonts w:ascii="Times New Roman" w:hAnsi="Times New Roman" w:cs="Times New Roman"/>
          <w:sz w:val="24"/>
          <w:szCs w:val="24"/>
          <w:lang w:val="ro-RO"/>
        </w:rPr>
        <w:t xml:space="preserve"> de proiect investițional a primăriei or. Anenii Noi </w:t>
      </w:r>
      <w:r w:rsidR="001911A3" w:rsidRPr="001911A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Modernizarea</w:t>
      </w:r>
      <w:proofErr w:type="spellEnd"/>
      <w:r w:rsidR="00F46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serviciului</w:t>
      </w:r>
      <w:proofErr w:type="spellEnd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public de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salubrizare</w:t>
      </w:r>
      <w:proofErr w:type="spellEnd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or. </w:t>
      </w:r>
      <w:proofErr w:type="spellStart"/>
      <w:proofErr w:type="gram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Anenii</w:t>
      </w:r>
      <w:proofErr w:type="spellEnd"/>
      <w:r w:rsidR="00F46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Noi</w:t>
      </w:r>
      <w:proofErr w:type="spellEnd"/>
      <w:r w:rsidR="00F46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="00F46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localitățile</w:t>
      </w:r>
      <w:proofErr w:type="spellEnd"/>
      <w:r w:rsidR="00F463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rurale</w:t>
      </w:r>
      <w:proofErr w:type="spellEnd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="00BD23EB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componență</w:t>
      </w:r>
      <w:bookmarkStart w:id="0" w:name="_GoBack"/>
      <w:bookmarkEnd w:id="0"/>
      <w:proofErr w:type="spellEnd"/>
      <w:r w:rsidR="001911A3"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A014AD" w:rsidRPr="001911A3">
        <w:rPr>
          <w:rFonts w:ascii="Times New Roman" w:hAnsi="Times New Roman" w:cs="Times New Roman"/>
          <w:sz w:val="24"/>
          <w:szCs w:val="24"/>
          <w:lang w:val="ro-RO"/>
        </w:rPr>
        <w:t xml:space="preserve">, înaintat la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Oficiul</w:t>
      </w:r>
      <w:proofErr w:type="spellEnd"/>
      <w:r w:rsidR="00B5382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Național</w:t>
      </w:r>
      <w:proofErr w:type="spellEnd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Implementare</w:t>
      </w:r>
      <w:proofErr w:type="spellEnd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Proiectelor</w:t>
      </w:r>
      <w:proofErr w:type="spellEnd"/>
      <w:r w:rsidR="00F46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în</w:t>
      </w:r>
      <w:proofErr w:type="spellEnd"/>
      <w:r w:rsidR="00F46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domeniul</w:t>
      </w:r>
      <w:proofErr w:type="spellEnd"/>
      <w:r w:rsidR="00F463D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Mediului</w:t>
      </w:r>
      <w:proofErr w:type="spellEnd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” (ONIPM) </w:t>
      </w:r>
      <w:proofErr w:type="spellStart"/>
      <w:r w:rsidR="00EA78A5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sprefinanțare</w:t>
      </w:r>
      <w:proofErr w:type="spellEnd"/>
      <w:r w:rsidR="00EA78A5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din</w:t>
      </w:r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 </w:t>
      </w:r>
      <w:proofErr w:type="spellStart"/>
      <w:r w:rsidR="001911A3"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Fondul</w:t>
      </w:r>
      <w:proofErr w:type="spellEnd"/>
      <w:r w:rsidR="00F463DD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Național</w:t>
      </w:r>
      <w:proofErr w:type="spellEnd"/>
      <w:r w:rsidR="00F463DD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F463DD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911A3"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="001911A3"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A014AD" w:rsidRDefault="00DA2497" w:rsidP="00F463DD">
      <w:pPr>
        <w:spacing w:after="0"/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A014AD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>alocă</w:t>
      </w:r>
      <w:r w:rsidR="00E7475C">
        <w:rPr>
          <w:rFonts w:ascii="Times New Roman" w:hAnsi="Times New Roman" w:cs="Times New Roman"/>
          <w:sz w:val="24"/>
          <w:szCs w:val="24"/>
          <w:lang w:val="ro-RO"/>
        </w:rPr>
        <w:t xml:space="preserve">, din soldul disponibil al primăriei </w:t>
      </w:r>
      <w:r w:rsidR="000F018D">
        <w:rPr>
          <w:rFonts w:ascii="Times New Roman" w:hAnsi="Times New Roman" w:cs="Times New Roman"/>
          <w:sz w:val="24"/>
          <w:szCs w:val="24"/>
          <w:lang w:val="ro-RO"/>
        </w:rPr>
        <w:t>format la situația din 01.01.2025</w:t>
      </w:r>
      <w:r w:rsidR="00E7475C">
        <w:rPr>
          <w:rFonts w:ascii="Times New Roman" w:hAnsi="Times New Roman" w:cs="Times New Roman"/>
          <w:sz w:val="24"/>
          <w:szCs w:val="24"/>
          <w:lang w:val="ro-RO"/>
        </w:rPr>
        <w:t>,  sum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7475C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>100 000</w:t>
      </w:r>
      <w:r w:rsidR="00E7475C">
        <w:rPr>
          <w:rFonts w:ascii="Times New Roman" w:hAnsi="Times New Roman" w:cs="Times New Roman"/>
          <w:sz w:val="24"/>
          <w:szCs w:val="24"/>
          <w:lang w:val="ro-RO"/>
        </w:rPr>
        <w:t xml:space="preserve"> de lei 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>pentru elaborarea studiului de fezabilitate</w:t>
      </w:r>
      <w:r w:rsidR="00194C2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studiului de  impact asupra mediului, 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 xml:space="preserve">documentației tehnice </w:t>
      </w:r>
      <w:r w:rsidR="00194C24">
        <w:rPr>
          <w:rFonts w:ascii="Times New Roman" w:hAnsi="Times New Roman" w:cs="Times New Roman"/>
          <w:sz w:val="24"/>
          <w:szCs w:val="24"/>
          <w:lang w:val="ro-RO"/>
        </w:rPr>
        <w:t xml:space="preserve">și de deviz </w:t>
      </w:r>
      <w:r w:rsidR="00EA78A5">
        <w:rPr>
          <w:rFonts w:ascii="Times New Roman" w:hAnsi="Times New Roman" w:cs="Times New Roman"/>
          <w:sz w:val="24"/>
          <w:szCs w:val="24"/>
          <w:lang w:val="ro-RO"/>
        </w:rPr>
        <w:t>pentru proiect.</w:t>
      </w:r>
    </w:p>
    <w:p w:rsidR="00F463DD" w:rsidRPr="00E02DE6" w:rsidRDefault="00F463DD" w:rsidP="00F463D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>. Prezenta decizie se aduce la cunoştinţă publică prin plasarea în Registrul de Stat al Actelor Locale, pe pag web şi panoul informativ al instituţiei.</w:t>
      </w:r>
    </w:p>
    <w:p w:rsidR="00F463DD" w:rsidRPr="00E02DE6" w:rsidRDefault="00F463DD" w:rsidP="00F463DD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F463DD" w:rsidRPr="00E02DE6" w:rsidRDefault="00F463DD" w:rsidP="00F463DD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</w:t>
      </w:r>
      <w:r w:rsidR="00E5362A">
        <w:rPr>
          <w:rFonts w:ascii="Times New Roman" w:eastAsia="Times New Roman" w:hAnsi="Times New Roman" w:cs="Times New Roman"/>
          <w:sz w:val="24"/>
          <w:szCs w:val="24"/>
          <w:lang w:val="ro-RO"/>
        </w:rPr>
        <w:t>Judecătoriei Căuşeni, sediul Anenii Noi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F463DD" w:rsidRPr="004D478C" w:rsidRDefault="00F463DD" w:rsidP="00F463DD">
      <w:pPr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Pr="00E02DE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 A., primar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83DC6" w:rsidRDefault="00D83DC6" w:rsidP="00D83DC6">
      <w:pPr>
        <w:jc w:val="both"/>
        <w:rPr>
          <w:sz w:val="24"/>
          <w:szCs w:val="24"/>
          <w:lang w:val="ro-RO"/>
        </w:rPr>
      </w:pPr>
    </w:p>
    <w:p w:rsidR="00AD349D" w:rsidRDefault="00D83DC6" w:rsidP="00D83DC6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Stolearenco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Tatiana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D83DC6" w:rsidRDefault="00D83DC6" w:rsidP="00D83DC6">
      <w:pPr>
        <w:ind w:left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:rsidR="00D83DC6" w:rsidRDefault="00D83DC6" w:rsidP="00D83DC6">
      <w:pPr>
        <w:ind w:left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D83DC6" w:rsidRDefault="00D83DC6" w:rsidP="00D83DC6">
      <w:pPr>
        <w:ind w:left="567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D83DC6" w:rsidRDefault="00D83DC6" w:rsidP="00D83DC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6E52" w:rsidRPr="00D83DC6" w:rsidRDefault="00D83DC6" w:rsidP="00D83DC6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ro-RO"/>
        </w:rPr>
        <w:t>Votat: pro-20,  contra -0 ,  abţinut –0</w:t>
      </w:r>
    </w:p>
    <w:sectPr w:rsidR="00476E52" w:rsidRPr="00D83DC6" w:rsidSect="00D83DC6">
      <w:pgSz w:w="11906" w:h="16838"/>
      <w:pgMar w:top="142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B2880"/>
    <w:rsid w:val="000F018D"/>
    <w:rsid w:val="001911A3"/>
    <w:rsid w:val="00194C24"/>
    <w:rsid w:val="001E1327"/>
    <w:rsid w:val="00265A75"/>
    <w:rsid w:val="002D3BCA"/>
    <w:rsid w:val="002F47B7"/>
    <w:rsid w:val="00321B47"/>
    <w:rsid w:val="003D7021"/>
    <w:rsid w:val="003F564A"/>
    <w:rsid w:val="0041188F"/>
    <w:rsid w:val="004440AF"/>
    <w:rsid w:val="0044584F"/>
    <w:rsid w:val="0044745B"/>
    <w:rsid w:val="004560EE"/>
    <w:rsid w:val="00476E52"/>
    <w:rsid w:val="004A48D3"/>
    <w:rsid w:val="004A6E55"/>
    <w:rsid w:val="004D5868"/>
    <w:rsid w:val="004F1540"/>
    <w:rsid w:val="00523944"/>
    <w:rsid w:val="005B2570"/>
    <w:rsid w:val="00613C87"/>
    <w:rsid w:val="00614684"/>
    <w:rsid w:val="00615B32"/>
    <w:rsid w:val="006B5CD6"/>
    <w:rsid w:val="00765FA7"/>
    <w:rsid w:val="007675DD"/>
    <w:rsid w:val="007A04D0"/>
    <w:rsid w:val="007C08DB"/>
    <w:rsid w:val="008017C8"/>
    <w:rsid w:val="00834FB7"/>
    <w:rsid w:val="008B38EB"/>
    <w:rsid w:val="008B4585"/>
    <w:rsid w:val="00933D8A"/>
    <w:rsid w:val="009B5A19"/>
    <w:rsid w:val="00A014AD"/>
    <w:rsid w:val="00A9735D"/>
    <w:rsid w:val="00AC754E"/>
    <w:rsid w:val="00AD349D"/>
    <w:rsid w:val="00B12E72"/>
    <w:rsid w:val="00B23303"/>
    <w:rsid w:val="00B53821"/>
    <w:rsid w:val="00BB79FE"/>
    <w:rsid w:val="00BD23EB"/>
    <w:rsid w:val="00C33474"/>
    <w:rsid w:val="00C65DE9"/>
    <w:rsid w:val="00CD5BEF"/>
    <w:rsid w:val="00D83DC6"/>
    <w:rsid w:val="00DA2497"/>
    <w:rsid w:val="00E5362A"/>
    <w:rsid w:val="00E5753B"/>
    <w:rsid w:val="00E7475C"/>
    <w:rsid w:val="00EA78A5"/>
    <w:rsid w:val="00ED2D8E"/>
    <w:rsid w:val="00EE40B8"/>
    <w:rsid w:val="00F03545"/>
    <w:rsid w:val="00F463DD"/>
    <w:rsid w:val="00F46A24"/>
    <w:rsid w:val="00F561AA"/>
    <w:rsid w:val="00F65F0C"/>
    <w:rsid w:val="00F92064"/>
    <w:rsid w:val="00FA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7"/>
  </w:style>
  <w:style w:type="paragraph" w:styleId="1">
    <w:name w:val="heading 1"/>
    <w:basedOn w:val="a"/>
    <w:next w:val="a"/>
    <w:link w:val="10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qFormat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ubtle Emphasis"/>
    <w:uiPriority w:val="19"/>
    <w:qFormat/>
    <w:rsid w:val="003F564A"/>
    <w:rPr>
      <w:i/>
      <w:iCs/>
      <w:color w:val="808080"/>
    </w:rPr>
  </w:style>
  <w:style w:type="table" w:styleId="a8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475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3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.anenii-noi@apl.gov.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.anenii-noi@apl.gov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870C53-A6EE-4D27-9AA2-F3D44C93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9</cp:revision>
  <cp:lastPrinted>2025-01-28T08:33:00Z</cp:lastPrinted>
  <dcterms:created xsi:type="dcterms:W3CDTF">2025-01-21T12:03:00Z</dcterms:created>
  <dcterms:modified xsi:type="dcterms:W3CDTF">2025-01-28T08:33:00Z</dcterms:modified>
</cp:coreProperties>
</file>