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8"/>
        <w:tblW w:w="10668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665806" w:rsidTr="00C14631">
        <w:trPr>
          <w:cantSplit/>
          <w:trHeight w:val="1412"/>
        </w:trPr>
        <w:tc>
          <w:tcPr>
            <w:tcW w:w="4534" w:type="dxa"/>
          </w:tcPr>
          <w:p w:rsidR="00665806" w:rsidRPr="00122804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665806" w:rsidRPr="00C9077A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665806" w:rsidRPr="006F6615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665806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665806" w:rsidRDefault="00665806" w:rsidP="00FE038D">
            <w:pPr>
              <w:ind w:left="175" w:right="176" w:hanging="141"/>
              <w:jc w:val="center"/>
              <w:rPr>
                <w:rFonts w:eastAsia="Times New Roman"/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65806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65806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65806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665806" w:rsidRDefault="00665806" w:rsidP="00FE038D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665806" w:rsidTr="00C14631">
        <w:trPr>
          <w:cantSplit/>
          <w:trHeight w:val="474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665806" w:rsidRPr="009023C9" w:rsidRDefault="00665806" w:rsidP="00C14631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665806" w:rsidRPr="009023C9" w:rsidRDefault="00665806" w:rsidP="00C14631">
            <w:pPr>
              <w:tabs>
                <w:tab w:val="left" w:pos="-67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23C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65806" w:rsidRPr="009023C9" w:rsidRDefault="00665806" w:rsidP="00C146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665806" w:rsidRPr="009023C9" w:rsidRDefault="00665806" w:rsidP="00C14631">
            <w:pPr>
              <w:pStyle w:val="1"/>
              <w:spacing w:after="0"/>
              <w:ind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665806" w:rsidRPr="009023C9" w:rsidRDefault="00665806" w:rsidP="00C14631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23C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665806" w:rsidRPr="006E3E1A" w:rsidRDefault="00E31071" w:rsidP="00C14631">
      <w:pPr>
        <w:spacing w:after="0"/>
        <w:rPr>
          <w:lang w:val="ro-RO"/>
        </w:rPr>
      </w:pPr>
      <w:r w:rsidRPr="00E31071">
        <w:rPr>
          <w:rFonts w:ascii="Times Roumanian" w:hAnsi="Times Roumanian"/>
          <w:b/>
          <w:noProof/>
          <w:sz w:val="28"/>
          <w:szCs w:val="20"/>
          <w:lang w:val="en-US"/>
        </w:rPr>
        <w:pict>
          <v:line id="Прямая соединительная линия 3" o:spid="_x0000_s1026" style="position:absolute;z-index:251659264;visibility:visible;mso-wrap-distance-top:-6e-5mm;mso-wrap-distance-bottom:-6e-5mm;mso-position-horizontal-relative:text;mso-position-vertical-relative:text" from="-26.05pt,126pt" to="493.5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" o:allowincell="f" strokeweight="4.5pt">
            <v:stroke linestyle="thinThick"/>
            <o:lock v:ext="edit" shapetype="f"/>
          </v:line>
        </w:pict>
      </w:r>
    </w:p>
    <w:p w:rsidR="00AD732C" w:rsidRDefault="005429F4" w:rsidP="000E235B">
      <w:pPr>
        <w:tabs>
          <w:tab w:val="left" w:pos="366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665806" w:rsidRPr="00F44C76" w:rsidRDefault="006064DC" w:rsidP="00C1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DECIZIE nr. 10</w:t>
      </w:r>
      <w:r w:rsidR="007C438C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</w:t>
      </w:r>
    </w:p>
    <w:p w:rsidR="00665806" w:rsidRPr="00F44C76" w:rsidRDefault="00F44C76" w:rsidP="00C1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4C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6064DC">
        <w:rPr>
          <w:rFonts w:ascii="Times New Roman" w:hAnsi="Times New Roman" w:cs="Times New Roman"/>
          <w:b/>
          <w:sz w:val="24"/>
          <w:szCs w:val="24"/>
          <w:lang w:val="ro-RO"/>
        </w:rPr>
        <w:t>___</w:t>
      </w:r>
      <w:r w:rsidR="007C4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decembrie</w:t>
      </w:r>
      <w:r w:rsidR="00665806" w:rsidRPr="00F44C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2024</w:t>
      </w:r>
    </w:p>
    <w:p w:rsidR="00665806" w:rsidRPr="00F44C76" w:rsidRDefault="00665806" w:rsidP="00C14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a3"/>
        <w:tblW w:w="0" w:type="auto"/>
        <w:tblLook w:val="04A0"/>
      </w:tblPr>
      <w:tblGrid>
        <w:gridCol w:w="4928"/>
      </w:tblGrid>
      <w:tr w:rsidR="00665806" w:rsidRPr="00026057" w:rsidTr="00FE038D">
        <w:trPr>
          <w:trHeight w:val="92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65806" w:rsidRPr="00F44C76" w:rsidRDefault="00665806" w:rsidP="00C146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44C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 privire la modificarea unor</w:t>
            </w:r>
          </w:p>
          <w:p w:rsidR="00665806" w:rsidRPr="00F44C76" w:rsidRDefault="00665806" w:rsidP="00C146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44C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Decizii ale C</w:t>
            </w:r>
            <w:r w:rsidR="009B319E" w:rsidRPr="00F44C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onsiliului orăşenesc</w:t>
            </w:r>
            <w:r w:rsidRPr="00F44C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Anenii Noi</w:t>
            </w:r>
          </w:p>
        </w:tc>
      </w:tr>
    </w:tbl>
    <w:p w:rsidR="00557C86" w:rsidRPr="00F44C76" w:rsidRDefault="00557C86" w:rsidP="00C1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4C76">
        <w:rPr>
          <w:rFonts w:ascii="Times New Roman" w:hAnsi="Times New Roman" w:cs="Times New Roman"/>
          <w:sz w:val="24"/>
          <w:szCs w:val="24"/>
          <w:lang w:val="ro-RO"/>
        </w:rPr>
        <w:tab/>
        <w:t>În temeiul art. 14 al Legii nr. 436/2006 privind a</w:t>
      </w:r>
      <w:r w:rsidR="00C937F9">
        <w:rPr>
          <w:rFonts w:ascii="Times New Roman" w:hAnsi="Times New Roman" w:cs="Times New Roman"/>
          <w:sz w:val="24"/>
          <w:szCs w:val="24"/>
          <w:lang w:val="ro-RO"/>
        </w:rPr>
        <w:t xml:space="preserve">dministraţia publică locală cu </w:t>
      </w:r>
      <w:r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modificările şi completările ulterioare; art. 62, 63 al Legii nr.100/2017 privind actele normative cu modificările şi completările ulterioare; în rezultatul autosesizării şi având avizele comisiilor consultative de specialitate, Consiliul orăşenesc Anenii Noi, </w:t>
      </w:r>
    </w:p>
    <w:p w:rsidR="00665806" w:rsidRPr="00F44C76" w:rsidRDefault="00665806" w:rsidP="00C1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29F4" w:rsidRDefault="00665806" w:rsidP="00C14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4C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DECIDE:</w:t>
      </w:r>
    </w:p>
    <w:p w:rsidR="006064DC" w:rsidRPr="00F44C76" w:rsidRDefault="006064DC" w:rsidP="00C14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64DC" w:rsidRDefault="00576BC2" w:rsidP="006064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20389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>1.</w:t>
      </w:r>
      <w:r w:rsidR="00AE65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57C86" w:rsidRPr="00F44C76">
        <w:rPr>
          <w:rFonts w:ascii="Times New Roman" w:hAnsi="Times New Roman" w:cs="Times New Roman"/>
          <w:sz w:val="24"/>
          <w:szCs w:val="24"/>
          <w:lang w:val="ro-RO"/>
        </w:rPr>
        <w:t>Se modifică</w:t>
      </w:r>
      <w:r w:rsidR="00122804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 decizia </w:t>
      </w:r>
      <w:r w:rsidR="006064DC">
        <w:rPr>
          <w:rFonts w:ascii="Times New Roman" w:hAnsi="Times New Roman" w:cs="Times New Roman"/>
          <w:sz w:val="24"/>
          <w:szCs w:val="24"/>
          <w:lang w:val="ro-RO"/>
        </w:rPr>
        <w:t>CO Anenii Noi nr. 3/18</w:t>
      </w:r>
      <w:r w:rsidR="00122804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6064DC">
        <w:rPr>
          <w:rFonts w:ascii="Times New Roman" w:hAnsi="Times New Roman" w:cs="Times New Roman"/>
          <w:sz w:val="24"/>
          <w:szCs w:val="24"/>
          <w:lang w:val="ro-RO"/>
        </w:rPr>
        <w:t>14 decembrie 2023</w:t>
      </w:r>
      <w:r w:rsidR="00122804" w:rsidRPr="007C438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7C438C" w:rsidRPr="007C438C">
        <w:rPr>
          <w:rFonts w:ascii="Times New Roman" w:hAnsi="Times New Roman" w:cs="Times New Roman"/>
          <w:i/>
          <w:sz w:val="24"/>
          <w:szCs w:val="24"/>
          <w:lang w:val="ro-RO"/>
        </w:rPr>
        <w:t>„</w:t>
      </w:r>
      <w:r w:rsidR="007C438C" w:rsidRPr="006064D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Cu privire la </w:t>
      </w:r>
      <w:r w:rsidR="006064DC" w:rsidRPr="006064DC">
        <w:rPr>
          <w:rFonts w:ascii="Times New Roman" w:hAnsi="Times New Roman" w:cs="Times New Roman"/>
          <w:b/>
          <w:i/>
          <w:sz w:val="24"/>
          <w:szCs w:val="24"/>
          <w:lang w:val="ro-RO"/>
        </w:rPr>
        <w:t>constituirea comisiei pentru organizarea licitaţiilor cu strigare şi cu reducere</w:t>
      </w:r>
      <w:r w:rsidR="00122804" w:rsidRPr="006064DC">
        <w:rPr>
          <w:rFonts w:ascii="Times New Roman" w:hAnsi="Times New Roman" w:cs="Times New Roman"/>
          <w:b/>
          <w:i/>
          <w:sz w:val="24"/>
          <w:szCs w:val="24"/>
          <w:lang w:val="ro-RO"/>
        </w:rPr>
        <w:t>”</w:t>
      </w:r>
      <w:r w:rsidR="00122804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 după cum urmează:</w:t>
      </w:r>
      <w:r w:rsidR="006064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C438C" w:rsidRDefault="006064DC" w:rsidP="00606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7C438C">
        <w:rPr>
          <w:rFonts w:ascii="Times New Roman" w:hAnsi="Times New Roman" w:cs="Times New Roman"/>
          <w:sz w:val="24"/>
          <w:szCs w:val="24"/>
          <w:lang w:val="ro-RO"/>
        </w:rPr>
        <w:t xml:space="preserve"> pct. 1 </w:t>
      </w:r>
      <w:r>
        <w:rPr>
          <w:rFonts w:ascii="Times New Roman" w:hAnsi="Times New Roman" w:cs="Times New Roman"/>
          <w:sz w:val="24"/>
          <w:szCs w:val="24"/>
          <w:lang w:val="ro-RO"/>
        </w:rPr>
        <w:t>sintagma „</w:t>
      </w:r>
      <w:r w:rsidRPr="006064DC">
        <w:rPr>
          <w:rFonts w:ascii="Times New Roman" w:hAnsi="Times New Roman" w:cs="Times New Roman"/>
          <w:i/>
          <w:sz w:val="24"/>
          <w:szCs w:val="24"/>
          <w:lang w:val="ro-RO"/>
        </w:rPr>
        <w:t>Preşedintele comisie: viceprimar domeniu economic”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substituie cu sintagma „</w:t>
      </w:r>
      <w:r w:rsidRPr="006064DC">
        <w:rPr>
          <w:rFonts w:ascii="Times New Roman" w:hAnsi="Times New Roman" w:cs="Times New Roman"/>
          <w:i/>
          <w:sz w:val="24"/>
          <w:szCs w:val="24"/>
          <w:lang w:val="ro-RO"/>
        </w:rPr>
        <w:t>Preşedintele comisiei: viceprimar responsabil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AE65C1" w:rsidRDefault="00203896" w:rsidP="002038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="00AE65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="00AE65C1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Se modifică şi se completează decizia </w:t>
      </w:r>
      <w:r w:rsidR="006064DC">
        <w:rPr>
          <w:rFonts w:ascii="Times New Roman" w:hAnsi="Times New Roman" w:cs="Times New Roman"/>
          <w:sz w:val="24"/>
          <w:szCs w:val="24"/>
          <w:lang w:val="ro-RO"/>
        </w:rPr>
        <w:t>CO Anenii Noi nr. 3</w:t>
      </w:r>
      <w:r w:rsidR="0094345D">
        <w:rPr>
          <w:rFonts w:ascii="Times New Roman" w:hAnsi="Times New Roman" w:cs="Times New Roman"/>
          <w:sz w:val="24"/>
          <w:szCs w:val="24"/>
          <w:lang w:val="ro-RO"/>
        </w:rPr>
        <w:t>/1</w:t>
      </w:r>
      <w:r w:rsidR="006064DC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AE65C1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6064DC">
        <w:rPr>
          <w:rFonts w:ascii="Times New Roman" w:hAnsi="Times New Roman" w:cs="Times New Roman"/>
          <w:sz w:val="24"/>
          <w:szCs w:val="24"/>
          <w:lang w:val="ro-RO"/>
        </w:rPr>
        <w:t>14 decembrie 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Pr="006064D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Cu privire la </w:t>
      </w:r>
      <w:r w:rsidR="006064DC" w:rsidRPr="006064DC">
        <w:rPr>
          <w:rFonts w:ascii="Times New Roman" w:hAnsi="Times New Roman" w:cs="Times New Roman"/>
          <w:b/>
          <w:i/>
          <w:sz w:val="24"/>
          <w:szCs w:val="24"/>
          <w:lang w:val="ro-RO"/>
        </w:rPr>
        <w:t>constituirea comisiei administrative a</w:t>
      </w:r>
      <w:r w:rsidRPr="006064D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primăriei or. Anenii Noi”</w:t>
      </w:r>
      <w:r w:rsidR="00AE65C1" w:rsidRPr="00203896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AE65C1">
        <w:rPr>
          <w:rFonts w:ascii="Times New Roman" w:hAnsi="Times New Roman" w:cs="Times New Roman"/>
          <w:sz w:val="24"/>
          <w:szCs w:val="24"/>
          <w:lang w:val="ro-RO"/>
        </w:rPr>
        <w:t xml:space="preserve"> după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65C1">
        <w:rPr>
          <w:rFonts w:ascii="Times New Roman" w:hAnsi="Times New Roman" w:cs="Times New Roman"/>
          <w:sz w:val="24"/>
          <w:szCs w:val="24"/>
          <w:lang w:val="ro-RO"/>
        </w:rPr>
        <w:t>cum urme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E65C1">
        <w:rPr>
          <w:rFonts w:ascii="Times New Roman" w:hAnsi="Times New Roman" w:cs="Times New Roman"/>
          <w:sz w:val="24"/>
          <w:szCs w:val="24"/>
          <w:lang w:val="ro-RO"/>
        </w:rPr>
        <w:t xml:space="preserve">ză: </w:t>
      </w:r>
    </w:p>
    <w:p w:rsidR="006064DC" w:rsidRDefault="006064DC" w:rsidP="00606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pct. 1 sintagma „</w:t>
      </w:r>
      <w:r w:rsidRPr="006064DC">
        <w:rPr>
          <w:rFonts w:ascii="Times New Roman" w:hAnsi="Times New Roman" w:cs="Times New Roman"/>
          <w:i/>
          <w:sz w:val="24"/>
          <w:szCs w:val="24"/>
          <w:lang w:val="ro-RO"/>
        </w:rPr>
        <w:t>Preşedintele comisie: viceprimar domeniu economic”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substituie cu sintagma „</w:t>
      </w:r>
      <w:r w:rsidRPr="006064DC">
        <w:rPr>
          <w:rFonts w:ascii="Times New Roman" w:hAnsi="Times New Roman" w:cs="Times New Roman"/>
          <w:i/>
          <w:sz w:val="24"/>
          <w:szCs w:val="24"/>
          <w:lang w:val="ro-RO"/>
        </w:rPr>
        <w:t>Preşedintele comisiei: viceprimar responsabil</w:t>
      </w:r>
      <w:r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5429F4" w:rsidRPr="006505C3" w:rsidRDefault="00274D67" w:rsidP="00650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13F4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B418F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6505C3">
        <w:rPr>
          <w:rFonts w:ascii="Times New Roman" w:hAnsi="Times New Roman" w:cs="Times New Roman"/>
          <w:sz w:val="24"/>
          <w:szCs w:val="24"/>
          <w:lang w:val="ro-RO"/>
        </w:rPr>
        <w:t>Se modifică</w:t>
      </w:r>
      <w:r w:rsidR="002636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345D">
        <w:rPr>
          <w:rFonts w:ascii="Times New Roman" w:hAnsi="Times New Roman" w:cs="Times New Roman"/>
          <w:sz w:val="24"/>
          <w:szCs w:val="24"/>
          <w:lang w:val="ro-RO"/>
        </w:rPr>
        <w:t xml:space="preserve">şi se aprobă în redacţie nouă pct. 2 din </w:t>
      </w:r>
      <w:r w:rsidR="006505C3" w:rsidRPr="007F1D3A">
        <w:rPr>
          <w:rFonts w:ascii="Times New Roman" w:hAnsi="Times New Roman" w:cs="Times New Roman"/>
          <w:b/>
          <w:sz w:val="24"/>
          <w:szCs w:val="24"/>
          <w:lang w:val="ro-RO"/>
        </w:rPr>
        <w:t>Regulament</w:t>
      </w:r>
      <w:r w:rsidR="006505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privind stabilirea numărului abonamentelor de telefoane de serviciu, faxuri, telefoane mobile şi parcursul-limită lunar pentru autoturismele colaboratorilor primăriei or. Anenii Noi, </w:t>
      </w:r>
      <w:r w:rsidR="006505C3" w:rsidRPr="006505C3">
        <w:rPr>
          <w:rFonts w:ascii="Times New Roman" w:hAnsi="Times New Roman" w:cs="Times New Roman"/>
          <w:sz w:val="24"/>
          <w:szCs w:val="24"/>
          <w:lang w:val="ro-RO"/>
        </w:rPr>
        <w:t>aprobat prin</w:t>
      </w:r>
      <w:r w:rsidR="006505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35CB1">
        <w:rPr>
          <w:rFonts w:ascii="Times New Roman" w:hAnsi="Times New Roman" w:cs="Times New Roman"/>
          <w:sz w:val="24"/>
          <w:szCs w:val="24"/>
          <w:lang w:val="ro-RO"/>
        </w:rPr>
        <w:t>Decizia CO A</w:t>
      </w:r>
      <w:r w:rsidR="0094345D">
        <w:rPr>
          <w:rFonts w:ascii="Times New Roman" w:hAnsi="Times New Roman" w:cs="Times New Roman"/>
          <w:sz w:val="24"/>
          <w:szCs w:val="24"/>
          <w:lang w:val="ro-RO"/>
        </w:rPr>
        <w:t>nenii Noi nr. 1/15</w:t>
      </w:r>
      <w:r w:rsidR="005429F4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94345D">
        <w:rPr>
          <w:rFonts w:ascii="Times New Roman" w:hAnsi="Times New Roman" w:cs="Times New Roman"/>
          <w:sz w:val="24"/>
          <w:szCs w:val="24"/>
          <w:lang w:val="ro-RO"/>
        </w:rPr>
        <w:t>24.01</w:t>
      </w:r>
      <w:r w:rsidR="005429F4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94345D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B418F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964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8F4">
        <w:rPr>
          <w:rFonts w:ascii="Times New Roman" w:hAnsi="Times New Roman" w:cs="Times New Roman"/>
          <w:sz w:val="24"/>
          <w:szCs w:val="24"/>
          <w:lang w:val="ro-RO"/>
        </w:rPr>
        <w:t>după cum urmează:</w:t>
      </w:r>
    </w:p>
    <w:p w:rsidR="00501DA5" w:rsidRPr="00B100C6" w:rsidRDefault="00501DA5" w:rsidP="00501DA5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„</w:t>
      </w:r>
      <w:r w:rsidRPr="00B100C6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Se stabilesc următoarele normative la combustibil (petrol)</w:t>
      </w:r>
    </w:p>
    <w:p w:rsidR="00501DA5" w:rsidRPr="00B100C6" w:rsidRDefault="006505C3" w:rsidP="00501DA5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ab/>
        <w:t>Primar – 16</w:t>
      </w:r>
      <w:r w:rsidR="00501DA5" w:rsidRPr="00B100C6">
        <w:rPr>
          <w:rFonts w:ascii="Times New Roman" w:hAnsi="Times New Roman" w:cs="Times New Roman"/>
          <w:i/>
          <w:sz w:val="24"/>
          <w:szCs w:val="24"/>
          <w:lang w:val="ro-RO"/>
        </w:rPr>
        <w:t>0 l /pe lună</w:t>
      </w:r>
      <w:r w:rsidRPr="006505C3">
        <w:rPr>
          <w:rFonts w:ascii="Times New Roman" w:hAnsi="Times New Roman" w:cs="Times New Roman"/>
          <w:i/>
          <w:sz w:val="24"/>
          <w:szCs w:val="24"/>
          <w:lang w:val="ro-RO"/>
        </w:rPr>
        <w:t xml:space="preserve">/,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cu 23 600 km pe an; </w:t>
      </w:r>
      <w:r w:rsidR="00501DA5" w:rsidRPr="00B100C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</w:p>
    <w:p w:rsidR="00AE65C1" w:rsidRPr="00B100C6" w:rsidRDefault="00501DA5" w:rsidP="00501DA5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100C6">
        <w:rPr>
          <w:rFonts w:ascii="Times New Roman" w:hAnsi="Times New Roman" w:cs="Times New Roman"/>
          <w:i/>
          <w:sz w:val="24"/>
          <w:szCs w:val="24"/>
          <w:lang w:val="ro-RO"/>
        </w:rPr>
        <w:tab/>
        <w:t xml:space="preserve">Viceprimar – </w:t>
      </w:r>
      <w:r w:rsidR="006505C3">
        <w:rPr>
          <w:rFonts w:ascii="Times New Roman" w:hAnsi="Times New Roman" w:cs="Times New Roman"/>
          <w:i/>
          <w:sz w:val="24"/>
          <w:szCs w:val="24"/>
          <w:lang w:val="ro-RO"/>
        </w:rPr>
        <w:t>16</w:t>
      </w:r>
      <w:r w:rsidR="006505C3" w:rsidRPr="00B100C6">
        <w:rPr>
          <w:rFonts w:ascii="Times New Roman" w:hAnsi="Times New Roman" w:cs="Times New Roman"/>
          <w:i/>
          <w:sz w:val="24"/>
          <w:szCs w:val="24"/>
          <w:lang w:val="ro-RO"/>
        </w:rPr>
        <w:t>0 l /pe lună</w:t>
      </w:r>
      <w:r w:rsidR="006505C3" w:rsidRPr="006505C3">
        <w:rPr>
          <w:rFonts w:ascii="Times New Roman" w:hAnsi="Times New Roman" w:cs="Times New Roman"/>
          <w:i/>
          <w:sz w:val="24"/>
          <w:szCs w:val="24"/>
          <w:lang w:val="ro-RO"/>
        </w:rPr>
        <w:t xml:space="preserve">/, </w:t>
      </w:r>
      <w:r w:rsidR="006505C3">
        <w:rPr>
          <w:rFonts w:ascii="Times New Roman" w:hAnsi="Times New Roman" w:cs="Times New Roman"/>
          <w:i/>
          <w:sz w:val="24"/>
          <w:szCs w:val="24"/>
          <w:lang w:val="ro-RO"/>
        </w:rPr>
        <w:t>cu 23 600 km pe an .</w:t>
      </w:r>
      <w:r w:rsidR="006505C3" w:rsidRPr="00B100C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6505C3">
        <w:rPr>
          <w:rFonts w:ascii="Times New Roman" w:hAnsi="Times New Roman" w:cs="Times New Roman"/>
          <w:i/>
          <w:sz w:val="24"/>
          <w:szCs w:val="24"/>
          <w:lang w:val="ro-RO"/>
        </w:rPr>
        <w:t>„</w:t>
      </w:r>
      <w:r w:rsidR="006505C3" w:rsidRPr="00B100C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665806" w:rsidRPr="00F44C76" w:rsidRDefault="00501DA5" w:rsidP="00C937F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4</w:t>
      </w:r>
      <w:r w:rsidR="00535B22" w:rsidRPr="00F44C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038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5806" w:rsidRPr="00F44C76">
        <w:rPr>
          <w:rFonts w:ascii="Times New Roman" w:hAnsi="Times New Roman" w:cs="Times New Roman"/>
          <w:sz w:val="24"/>
          <w:szCs w:val="24"/>
          <w:lang w:val="ro-RO"/>
        </w:rPr>
        <w:t>Prezenta decizie se aduce la cunoştinţă p</w:t>
      </w:r>
      <w:r w:rsidR="007C438C">
        <w:rPr>
          <w:rFonts w:ascii="Times New Roman" w:hAnsi="Times New Roman" w:cs="Times New Roman"/>
          <w:sz w:val="24"/>
          <w:szCs w:val="24"/>
          <w:lang w:val="ro-RO"/>
        </w:rPr>
        <w:t xml:space="preserve">ublică prin plasarea în RSAL, </w:t>
      </w:r>
      <w:r w:rsidR="00665806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 pagina web </w:t>
      </w:r>
      <w:r w:rsidR="007C438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65806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 instituţiei.</w:t>
      </w:r>
    </w:p>
    <w:p w:rsidR="00665806" w:rsidRPr="00F44C76" w:rsidRDefault="00501DA5" w:rsidP="00C1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5</w:t>
      </w:r>
      <w:r w:rsidR="00665806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.Prezenta decizie, poate fi notificată autorității publice emitente de </w:t>
      </w:r>
      <w:r w:rsidR="00C14631" w:rsidRPr="00F44C76">
        <w:rPr>
          <w:rFonts w:ascii="Times New Roman" w:hAnsi="Times New Roman" w:cs="Times New Roman"/>
          <w:sz w:val="24"/>
          <w:szCs w:val="24"/>
          <w:lang w:val="ro-RO"/>
        </w:rPr>
        <w:t>OTC</w:t>
      </w:r>
      <w:r w:rsidR="00665806" w:rsidRPr="00F44C76">
        <w:rPr>
          <w:rFonts w:ascii="Times New Roman" w:hAnsi="Times New Roman" w:cs="Times New Roman"/>
          <w:sz w:val="24"/>
          <w:szCs w:val="24"/>
          <w:lang w:val="ro-RO"/>
        </w:rPr>
        <w:t xml:space="preserve"> al Cancelariei de Stat în termen de 30 de zile de la data includerii actului în Registrul de stat al actelor locale.</w:t>
      </w:r>
    </w:p>
    <w:p w:rsidR="00665806" w:rsidRPr="00F44C76" w:rsidRDefault="00501DA5" w:rsidP="00C14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6</w:t>
      </w:r>
      <w:r w:rsidR="00665806"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Judecătoriei Anenii Noi, sediul Central (or. Anenii Noi, str. </w:t>
      </w:r>
      <w:proofErr w:type="spellStart"/>
      <w:r w:rsidR="00665806"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>Marțișor</w:t>
      </w:r>
      <w:proofErr w:type="spellEnd"/>
      <w:r w:rsidR="00665806"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 15), în termen de 30 de zile de la comunicare.</w:t>
      </w:r>
    </w:p>
    <w:p w:rsidR="005429F4" w:rsidRDefault="00501DA5" w:rsidP="00C14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7</w:t>
      </w:r>
      <w:r w:rsidR="00665806"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Controlul asupra executării prezentei decizii se atribuie dlui </w:t>
      </w:r>
      <w:proofErr w:type="spellStart"/>
      <w:r w:rsidR="00665806"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>Maţarin</w:t>
      </w:r>
      <w:proofErr w:type="spellEnd"/>
      <w:r w:rsidR="00665806" w:rsidRPr="00F44C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A., primar.</w:t>
      </w:r>
    </w:p>
    <w:p w:rsidR="00263646" w:rsidRDefault="00263646" w:rsidP="00C14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63646" w:rsidRPr="000E235B" w:rsidRDefault="00263646" w:rsidP="00C14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937F9" w:rsidRDefault="00C937F9" w:rsidP="00C937F9">
      <w:pPr>
        <w:tabs>
          <w:tab w:val="left" w:pos="5892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Preşedintele şedinţei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</w:t>
      </w:r>
    </w:p>
    <w:p w:rsidR="004B6EAB" w:rsidRDefault="004B6EAB" w:rsidP="00C937F9">
      <w:pPr>
        <w:tabs>
          <w:tab w:val="left" w:pos="5892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37F9" w:rsidRDefault="00C937F9" w:rsidP="00C937F9">
      <w:pPr>
        <w:tabs>
          <w:tab w:val="left" w:pos="5892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Contrasemnează</w:t>
      </w:r>
    </w:p>
    <w:p w:rsidR="006A032B" w:rsidRDefault="00C937F9" w:rsidP="00C937F9">
      <w:pPr>
        <w:tabs>
          <w:tab w:val="left" w:pos="6168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Secretara Consiliului orășenesc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Rodica Melnic</w:t>
      </w:r>
    </w:p>
    <w:p w:rsidR="00263646" w:rsidRDefault="00263646" w:rsidP="00C937F9">
      <w:pPr>
        <w:tabs>
          <w:tab w:val="left" w:pos="6168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63646" w:rsidRPr="00B100C6" w:rsidRDefault="00263646" w:rsidP="00B100C6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Votat: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pro-</w:t>
      </w:r>
      <w:proofErr w:type="spellEnd"/>
      <w:r w:rsidR="00C937F9">
        <w:rPr>
          <w:rFonts w:ascii="Times New Roman" w:hAnsi="Times New Roman" w:cs="Times New Roman"/>
          <w:sz w:val="20"/>
          <w:szCs w:val="20"/>
          <w:lang w:val="ro-RO"/>
        </w:rPr>
        <w:t>,  contra -0 ,  abţinut –0</w:t>
      </w:r>
    </w:p>
    <w:p w:rsidR="00F77472" w:rsidRDefault="00F77472" w:rsidP="006A032B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A032B" w:rsidRDefault="006A032B" w:rsidP="006A032B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Notă</w:t>
      </w:r>
      <w:proofErr w:type="spellEnd"/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informativă</w:t>
      </w:r>
      <w:proofErr w:type="spellEnd"/>
    </w:p>
    <w:p w:rsidR="006A032B" w:rsidRPr="00C964F5" w:rsidRDefault="006A032B" w:rsidP="006A03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la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deci</w:t>
      </w:r>
      <w:r>
        <w:rPr>
          <w:rFonts w:ascii="Times New Roman" w:hAnsi="Times New Roman"/>
          <w:bCs/>
          <w:sz w:val="24"/>
          <w:szCs w:val="24"/>
          <w:lang w:val="ro-RO"/>
        </w:rPr>
        <w:t>zie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7139"/>
      </w:tblGrid>
      <w:tr w:rsidR="006A032B" w:rsidTr="00F77472">
        <w:trPr>
          <w:trHeight w:val="519"/>
          <w:jc w:val="center"/>
        </w:trPr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32B" w:rsidRDefault="006A032B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„Cu privire la modificarea și completarea unor Decizii ale Consiliului orăşenesc Anenii Noi”</w:t>
            </w:r>
          </w:p>
        </w:tc>
      </w:tr>
    </w:tbl>
    <w:p w:rsidR="006A032B" w:rsidRDefault="006A032B" w:rsidP="006A0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41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0486"/>
      </w:tblGrid>
      <w:tr w:rsidR="006A032B" w:rsidTr="006A032B">
        <w:trPr>
          <w:trHeight w:val="32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6A032B" w:rsidTr="006A032B">
        <w:trPr>
          <w:trHeight w:val="53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32B" w:rsidRDefault="006A032B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secretara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colaborare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funcţionarii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A032B" w:rsidRDefault="006A032B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coordonat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primarul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dl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Maţarin</w:t>
            </w:r>
            <w:proofErr w:type="spellEnd"/>
          </w:p>
        </w:tc>
      </w:tr>
      <w:tr w:rsidR="006A032B" w:rsidTr="006A032B">
        <w:trPr>
          <w:trHeight w:val="29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B" w:rsidRDefault="006A032B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elaborat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 baza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art. 14 al Legii nr. 436/2006 privind administraţia publică locală cu - modificările şi completările ulterioare; art. 62, 63 al Legii nr.100/2017 privind actele normative cu modificările şi completările ulterioare, în baza solicitărilor şi necesităţilor identificate în procesul activităţii,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câtvşi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facilitarea procesului de executare a deciziilor adoptate anterior</w:t>
            </w:r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B" w:rsidRDefault="006A032B">
            <w:pPr>
              <w:autoSpaceDN w:val="0"/>
              <w:spacing w:after="0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176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76"/>
            </w:tblGrid>
            <w:tr w:rsidR="006A032B">
              <w:tc>
                <w:tcPr>
                  <w:tcW w:w="10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32B" w:rsidRDefault="006A032B">
                  <w:pPr>
                    <w:spacing w:after="160" w:line="256" w:lineRule="auto"/>
                    <w:rPr>
                      <w:rFonts w:cs="Times New Roman"/>
                    </w:rPr>
                  </w:pPr>
                </w:p>
              </w:tc>
            </w:tr>
          </w:tbl>
          <w:p w:rsidR="00C964F5" w:rsidRDefault="006A032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modificarea şi completarea</w:t>
            </w:r>
            <w:r w:rsidR="00C964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unor decizii aprobate anterior, după cum urmează:</w:t>
            </w:r>
          </w:p>
          <w:p w:rsidR="00501DA5" w:rsidRPr="00501DA5" w:rsidRDefault="00C964F5" w:rsidP="00501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501DA5" w:rsidRPr="00F44C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decizia </w:t>
            </w:r>
            <w:r w:rsidR="00501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 Anenii Noi nr. 3/18</w:t>
            </w:r>
            <w:r w:rsidR="00501DA5" w:rsidRPr="00F44C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r w:rsidR="00501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 decembrie 2023</w:t>
            </w:r>
            <w:r w:rsidR="00501DA5" w:rsidRPr="007C438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„</w:t>
            </w:r>
            <w:r w:rsidR="00501DA5" w:rsidRPr="006064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 privire la constituirea comisiei pentru organizarea licitaţiilor cu strigare şi cu reducere”</w:t>
            </w:r>
            <w:r w:rsidR="00501DA5" w:rsidRPr="00F44C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01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sintagma „</w:t>
            </w:r>
            <w:r w:rsidR="00501DA5" w:rsidRPr="006064D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Preşedintele comisie: viceprimar domeniu economic”</w:t>
            </w:r>
            <w:r w:rsidR="00501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substituie cu sintagma „</w:t>
            </w:r>
            <w:r w:rsidR="00501DA5" w:rsidRPr="006064D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Preşedintele comisiei: viceprimar responsabil</w:t>
            </w:r>
            <w:r w:rsidR="00501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”.</w:t>
            </w:r>
          </w:p>
          <w:p w:rsidR="00501DA5" w:rsidRDefault="00501DA5" w:rsidP="00501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F44C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decizia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 Anenii Noi nr. 3/19 din 14 decembrie 2023 „</w:t>
            </w:r>
            <w:r w:rsidRPr="006064DC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 privire la constituirea comisiei administrative a primăriei or. Anenii Noi”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sintagma „</w:t>
            </w:r>
            <w:r w:rsidRPr="006064D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Preşedintele comisie: viceprimar domeniu economic”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substituie cu sintagma „</w:t>
            </w:r>
            <w:r w:rsidRPr="006064D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Preşedintele comisiei: viceprimar responsabil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”, în scopul de asigura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funcţionalittea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deciziilor în cauză.</w:t>
            </w:r>
          </w:p>
          <w:p w:rsidR="00501DA5" w:rsidRDefault="00501DA5" w:rsidP="00501DA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="00EF43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motivul numeroaselor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deplasări în lunile noiembrie-decembrie an. 2024, la seminare de instruire, forumuri şi alte activităţi desfăşurate în mun. Chişinău, la care au fost parte specialiştii din cadrul Primăriei or. Anenii Noi; deplasarea în mun. Bălţi a viceprimarului, pentru semnarea </w:t>
            </w:r>
            <w:r w:rsidRPr="00472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Memorandumul de aderare la programul LEEN Moldova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, </w:t>
            </w:r>
            <w:r w:rsidR="00EF4394" w:rsidRPr="00EF43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respectiv consum</w:t>
            </w:r>
            <w:r w:rsidRPr="00EF43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F4394" w:rsidRPr="00EF43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sporit</w:t>
            </w:r>
            <w:r w:rsidRPr="00EF43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combustibil, </w:t>
            </w:r>
            <w:r w:rsidR="00EF4394" w:rsidRPr="00EF43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depăşirea normelor aprobate</w:t>
            </w:r>
            <w:r w:rsidR="00EF43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6505C3" w:rsidRDefault="00EF4394" w:rsidP="006505C3">
            <w:pPr>
              <w:pStyle w:val="a4"/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Se propune: modificarea şi aprobarea în redacţie nouă a pct. 2 </w:t>
            </w:r>
            <w:r w:rsidR="00650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nouă pct. 2 din </w:t>
            </w:r>
            <w:r w:rsidR="006505C3" w:rsidRPr="007F1D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Regulament</w:t>
            </w:r>
            <w:r w:rsidR="006505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privind stabilirea numărului abonamentelor de telefoane de serviciu, faxuri, telefoane mobile şi parcursul-limită lunar pentru autoturismele colaboratorilor primăriei or. Anenii Noi, </w:t>
            </w:r>
            <w:r w:rsidR="006505C3" w:rsidRPr="00650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aprobat prin</w:t>
            </w:r>
            <w:r w:rsidR="006505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650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Decizia CO Anenii Noi nr. 1/15 din 24.01.2024, după cum urmează</w:t>
            </w:r>
            <w:r w:rsidR="006505C3" w:rsidRPr="00EF439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 xml:space="preserve"> </w:t>
            </w:r>
          </w:p>
          <w:p w:rsidR="006505C3" w:rsidRPr="00B100C6" w:rsidRDefault="00EF4394" w:rsidP="006505C3">
            <w:pPr>
              <w:pStyle w:val="a4"/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</w:pPr>
            <w:r w:rsidRPr="00EF439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>„</w:t>
            </w:r>
            <w:r w:rsidR="006505C3" w:rsidRPr="00B100C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>Se stabilesc următoarele normative la combustibil (petrol)</w:t>
            </w:r>
          </w:p>
          <w:p w:rsidR="006505C3" w:rsidRPr="00B100C6" w:rsidRDefault="006505C3" w:rsidP="006505C3">
            <w:pPr>
              <w:pStyle w:val="a4"/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ab/>
              <w:t>Primar – 16</w:t>
            </w:r>
            <w:r w:rsidRPr="00B100C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0 l /pe lună</w:t>
            </w:r>
            <w:r w:rsidRPr="006505C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/,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cu 23 600 km pe an; </w:t>
            </w:r>
            <w:r w:rsidRPr="00B100C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:rsidR="006505C3" w:rsidRPr="00B100C6" w:rsidRDefault="006505C3" w:rsidP="006505C3">
            <w:pPr>
              <w:pStyle w:val="a4"/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100C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ab/>
              <w:t xml:space="preserve">Viceprimar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16</w:t>
            </w:r>
            <w:r w:rsidRPr="00B100C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0 l /pe lună</w:t>
            </w:r>
            <w:r w:rsidRPr="006505C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/,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 23 600 km pe an .</w:t>
            </w:r>
            <w:r w:rsidRPr="00B100C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</w:t>
            </w:r>
            <w:r w:rsidRPr="00B100C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6A032B" w:rsidRPr="00EF4394" w:rsidRDefault="006A032B" w:rsidP="00F77472">
            <w:pPr>
              <w:pStyle w:val="a4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2B" w:rsidRDefault="006A032B">
            <w:pPr>
              <w:autoSpaceDN w:val="0"/>
              <w:spacing w:after="0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4F5" w:rsidRDefault="006A032B" w:rsidP="00B100C6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Împlementarea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necesită</w:t>
            </w:r>
            <w:proofErr w:type="spellEnd"/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>acoperirea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>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>combustibilul</w:t>
            </w:r>
            <w:proofErr w:type="spellEnd"/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C6">
              <w:rPr>
                <w:rFonts w:ascii="Times New Roman" w:hAnsi="Times New Roman"/>
                <w:sz w:val="24"/>
                <w:szCs w:val="24"/>
                <w:lang w:val="en-US"/>
              </w:rPr>
              <w:t>consumat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32B" w:rsidRDefault="006A032B" w:rsidP="00C964F5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încorporează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normative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necesită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anularea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altor</w:t>
            </w:r>
            <w:proofErr w:type="spellEnd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>acte</w:t>
            </w:r>
            <w:proofErr w:type="spellEnd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administrative </w:t>
            </w:r>
            <w:proofErr w:type="spellStart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>doar</w:t>
            </w:r>
            <w:proofErr w:type="spellEnd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64F5">
              <w:rPr>
                <w:rFonts w:ascii="Times New Roman" w:hAnsi="Times New Roman"/>
                <w:sz w:val="24"/>
                <w:szCs w:val="24"/>
                <w:lang w:val="en-US"/>
              </w:rPr>
              <w:t>completarea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armonizeze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institutional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legislației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32B" w:rsidRDefault="006A032B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decezie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specialiştii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examina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comisiilor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Constatările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expertizei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anticorupţie</w:t>
            </w:r>
            <w:proofErr w:type="spellEnd"/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32B" w:rsidRDefault="006A032B">
            <w:pPr>
              <w:pStyle w:val="a8"/>
              <w:spacing w:before="108" w:line="276" w:lineRule="auto"/>
              <w:ind w:left="0" w:right="12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temeiul</w:t>
            </w:r>
            <w:proofErr w:type="spellEnd"/>
            <w:r>
              <w:rPr>
                <w:sz w:val="24"/>
                <w:szCs w:val="24"/>
              </w:rPr>
              <w:t xml:space="preserve"> art. 35 al </w:t>
            </w:r>
            <w:proofErr w:type="spellStart"/>
            <w:r>
              <w:rPr>
                <w:sz w:val="24"/>
                <w:szCs w:val="24"/>
              </w:rPr>
              <w:t>Legii</w:t>
            </w:r>
            <w:proofErr w:type="spellEnd"/>
            <w:r>
              <w:rPr>
                <w:sz w:val="24"/>
                <w:szCs w:val="24"/>
              </w:rPr>
              <w:t xml:space="preserve"> nr. 100/2017, cu </w:t>
            </w:r>
            <w:proofErr w:type="spellStart"/>
            <w:r>
              <w:rPr>
                <w:sz w:val="24"/>
                <w:szCs w:val="24"/>
              </w:rPr>
              <w:t>privire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actele</w:t>
            </w:r>
            <w:proofErr w:type="spellEnd"/>
            <w:r>
              <w:rPr>
                <w:sz w:val="24"/>
                <w:szCs w:val="24"/>
              </w:rPr>
              <w:t xml:space="preserve"> normative, </w:t>
            </w:r>
            <w:proofErr w:type="spellStart"/>
            <w:r>
              <w:rPr>
                <w:sz w:val="24"/>
                <w:szCs w:val="24"/>
              </w:rPr>
              <w:t>expertiza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anticorupţie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fost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efectuată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autor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Proiectul</w:t>
            </w:r>
            <w:proofErr w:type="spellEnd"/>
            <w:r>
              <w:rPr>
                <w:sz w:val="24"/>
                <w:szCs w:val="24"/>
              </w:rPr>
              <w:t xml:space="preserve"> nu </w:t>
            </w:r>
            <w:proofErr w:type="spellStart"/>
            <w:r>
              <w:rPr>
                <w:sz w:val="24"/>
                <w:szCs w:val="24"/>
              </w:rPr>
              <w:t>conţine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reglementări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favoriza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corupţia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6A032B" w:rsidTr="006A032B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2B" w:rsidRDefault="006A032B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32B" w:rsidRDefault="006A032B">
            <w:pPr>
              <w:pStyle w:val="a8"/>
              <w:spacing w:line="276" w:lineRule="auto"/>
              <w:ind w:left="0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Întemeiul</w:t>
            </w:r>
            <w:proofErr w:type="spellEnd"/>
            <w:r>
              <w:rPr>
                <w:sz w:val="24"/>
                <w:szCs w:val="24"/>
              </w:rPr>
              <w:t xml:space="preserve"> art. 37 din Legea</w:t>
            </w:r>
            <w:r>
              <w:rPr>
                <w:spacing w:val="-3"/>
                <w:sz w:val="24"/>
                <w:szCs w:val="24"/>
              </w:rPr>
              <w:t xml:space="preserve">nr.100 </w:t>
            </w:r>
            <w:r>
              <w:rPr>
                <w:sz w:val="24"/>
                <w:szCs w:val="24"/>
              </w:rPr>
              <w:t xml:space="preserve">din 22 </w:t>
            </w:r>
            <w:proofErr w:type="spellStart"/>
            <w:r>
              <w:rPr>
                <w:sz w:val="24"/>
                <w:szCs w:val="24"/>
              </w:rPr>
              <w:t>decembrie</w:t>
            </w:r>
            <w:proofErr w:type="spellEnd"/>
            <w:r>
              <w:rPr>
                <w:sz w:val="24"/>
                <w:szCs w:val="24"/>
              </w:rPr>
              <w:t xml:space="preserve"> 2017 cu </w:t>
            </w:r>
            <w:proofErr w:type="spellStart"/>
            <w:r>
              <w:rPr>
                <w:sz w:val="24"/>
                <w:szCs w:val="24"/>
              </w:rPr>
              <w:t>privire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actele</w:t>
            </w:r>
            <w:proofErr w:type="spellEnd"/>
            <w:r>
              <w:rPr>
                <w:sz w:val="24"/>
                <w:szCs w:val="24"/>
              </w:rPr>
              <w:t xml:space="preserve"> normative, </w:t>
            </w:r>
            <w:proofErr w:type="spellStart"/>
            <w:proofErr w:type="gramStart"/>
            <w:r>
              <w:rPr>
                <w:sz w:val="24"/>
                <w:szCs w:val="24"/>
              </w:rPr>
              <w:t>proiectul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deciziei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fost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expertizei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s-</w:t>
            </w:r>
            <w:r>
              <w:rPr>
                <w:spacing w:val="-14"/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constatat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corespunde</w:t>
            </w:r>
            <w:proofErr w:type="spellEnd"/>
            <w:r>
              <w:rPr>
                <w:sz w:val="24"/>
                <w:szCs w:val="24"/>
              </w:rPr>
              <w:t xml:space="preserve"> ca </w:t>
            </w:r>
            <w:proofErr w:type="spellStart"/>
            <w:r>
              <w:rPr>
                <w:sz w:val="24"/>
                <w:szCs w:val="24"/>
              </w:rPr>
              <w:t>structură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conţinut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nu </w:t>
            </w:r>
            <w:proofErr w:type="spellStart"/>
            <w:r>
              <w:rPr>
                <w:sz w:val="24"/>
                <w:szCs w:val="24"/>
              </w:rPr>
              <w:t>contravine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legislației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6A032B" w:rsidRPr="00B100C6" w:rsidRDefault="006A032B" w:rsidP="00B100C6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Secretara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 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Melnic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</w:t>
      </w:r>
    </w:p>
    <w:sectPr w:rsidR="006A032B" w:rsidRPr="00B100C6" w:rsidSect="00C937F9">
      <w:pgSz w:w="11906" w:h="16838"/>
      <w:pgMar w:top="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umanian">
    <w:altName w:val="Courier New"/>
    <w:charset w:val="00"/>
    <w:family w:val="auto"/>
    <w:pitch w:val="default"/>
    <w:sig w:usb0="00000003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186"/>
    <w:multiLevelType w:val="hybridMultilevel"/>
    <w:tmpl w:val="4C6AD5C0"/>
    <w:lvl w:ilvl="0" w:tplc="742A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D6429"/>
    <w:multiLevelType w:val="hybridMultilevel"/>
    <w:tmpl w:val="14F21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0936"/>
    <w:multiLevelType w:val="hybridMultilevel"/>
    <w:tmpl w:val="0318F934"/>
    <w:lvl w:ilvl="0" w:tplc="A1746758">
      <w:start w:val="3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C4738"/>
    <w:multiLevelType w:val="hybridMultilevel"/>
    <w:tmpl w:val="B1164672"/>
    <w:lvl w:ilvl="0" w:tplc="75A80C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57495C1E"/>
    <w:multiLevelType w:val="hybridMultilevel"/>
    <w:tmpl w:val="F7FC02E4"/>
    <w:lvl w:ilvl="0" w:tplc="B1F8227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03"/>
    <w:rsid w:val="00026057"/>
    <w:rsid w:val="00057016"/>
    <w:rsid w:val="0007736F"/>
    <w:rsid w:val="000928FD"/>
    <w:rsid w:val="000E235B"/>
    <w:rsid w:val="00122804"/>
    <w:rsid w:val="00140EB9"/>
    <w:rsid w:val="001A08CF"/>
    <w:rsid w:val="001B11BA"/>
    <w:rsid w:val="00202C2A"/>
    <w:rsid w:val="00203896"/>
    <w:rsid w:val="00236F16"/>
    <w:rsid w:val="00263646"/>
    <w:rsid w:val="00274D67"/>
    <w:rsid w:val="002E198D"/>
    <w:rsid w:val="003C4EB5"/>
    <w:rsid w:val="003F234C"/>
    <w:rsid w:val="00463483"/>
    <w:rsid w:val="004B6EAB"/>
    <w:rsid w:val="00501DA5"/>
    <w:rsid w:val="00513F4D"/>
    <w:rsid w:val="005321A7"/>
    <w:rsid w:val="00535B22"/>
    <w:rsid w:val="005429F4"/>
    <w:rsid w:val="00557C86"/>
    <w:rsid w:val="005619C1"/>
    <w:rsid w:val="00576BC2"/>
    <w:rsid w:val="005A1310"/>
    <w:rsid w:val="005E781F"/>
    <w:rsid w:val="006064DC"/>
    <w:rsid w:val="006505C3"/>
    <w:rsid w:val="006639B4"/>
    <w:rsid w:val="00665806"/>
    <w:rsid w:val="0069648C"/>
    <w:rsid w:val="006A032B"/>
    <w:rsid w:val="006B7F13"/>
    <w:rsid w:val="006E741F"/>
    <w:rsid w:val="006F5D02"/>
    <w:rsid w:val="006F6756"/>
    <w:rsid w:val="007340CF"/>
    <w:rsid w:val="00735BFC"/>
    <w:rsid w:val="00781ECE"/>
    <w:rsid w:val="00793B8B"/>
    <w:rsid w:val="007B6AEC"/>
    <w:rsid w:val="007C438C"/>
    <w:rsid w:val="00804860"/>
    <w:rsid w:val="008058E6"/>
    <w:rsid w:val="00862668"/>
    <w:rsid w:val="0087209C"/>
    <w:rsid w:val="008827CB"/>
    <w:rsid w:val="008E3A99"/>
    <w:rsid w:val="008F747B"/>
    <w:rsid w:val="00922744"/>
    <w:rsid w:val="0094345D"/>
    <w:rsid w:val="00946FA7"/>
    <w:rsid w:val="009A121A"/>
    <w:rsid w:val="009B319E"/>
    <w:rsid w:val="009C4AD7"/>
    <w:rsid w:val="00A0265D"/>
    <w:rsid w:val="00A216CA"/>
    <w:rsid w:val="00A837D9"/>
    <w:rsid w:val="00AD2439"/>
    <w:rsid w:val="00AD732C"/>
    <w:rsid w:val="00AE65C1"/>
    <w:rsid w:val="00B100C6"/>
    <w:rsid w:val="00B418F4"/>
    <w:rsid w:val="00B43C33"/>
    <w:rsid w:val="00B47B26"/>
    <w:rsid w:val="00B809C2"/>
    <w:rsid w:val="00B9694F"/>
    <w:rsid w:val="00BB5167"/>
    <w:rsid w:val="00BC44AF"/>
    <w:rsid w:val="00BC722A"/>
    <w:rsid w:val="00C07098"/>
    <w:rsid w:val="00C14631"/>
    <w:rsid w:val="00C31903"/>
    <w:rsid w:val="00C460AF"/>
    <w:rsid w:val="00C66298"/>
    <w:rsid w:val="00C8717D"/>
    <w:rsid w:val="00C9077A"/>
    <w:rsid w:val="00C91B74"/>
    <w:rsid w:val="00C937F9"/>
    <w:rsid w:val="00C964F5"/>
    <w:rsid w:val="00D06376"/>
    <w:rsid w:val="00D35CB1"/>
    <w:rsid w:val="00D64042"/>
    <w:rsid w:val="00D71E00"/>
    <w:rsid w:val="00D766AE"/>
    <w:rsid w:val="00D96BBB"/>
    <w:rsid w:val="00E17D7F"/>
    <w:rsid w:val="00E31071"/>
    <w:rsid w:val="00EF4394"/>
    <w:rsid w:val="00EF54D2"/>
    <w:rsid w:val="00F0320C"/>
    <w:rsid w:val="00F44C76"/>
    <w:rsid w:val="00F7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6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665806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806"/>
    <w:rPr>
      <w:rFonts w:ascii="Times Roumanian" w:eastAsia="Times New Roman" w:hAnsi="Times Roumanian" w:cs="Times New Roman"/>
      <w:b/>
      <w:kern w:val="0"/>
      <w:sz w:val="24"/>
      <w:szCs w:val="20"/>
      <w:lang w:val="en-US" w:eastAsia="ru-RU"/>
    </w:rPr>
  </w:style>
  <w:style w:type="paragraph" w:customStyle="1" w:styleId="FR2">
    <w:name w:val="FR2"/>
    <w:rsid w:val="00665806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kern w:val="0"/>
      <w:sz w:val="24"/>
      <w:szCs w:val="20"/>
      <w:lang w:val="ro-RO" w:eastAsia="ru-RU"/>
    </w:rPr>
  </w:style>
  <w:style w:type="table" w:styleId="a3">
    <w:name w:val="Table Grid"/>
    <w:basedOn w:val="a1"/>
    <w:uiPriority w:val="59"/>
    <w:rsid w:val="00665806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04"/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76BC2"/>
    <w:rPr>
      <w:color w:val="0563C1" w:themeColor="hyperlink"/>
      <w:u w:val="single"/>
    </w:rPr>
  </w:style>
  <w:style w:type="paragraph" w:styleId="a8">
    <w:name w:val="Normal (Web)"/>
    <w:aliases w:val="Знак,webb,webb Знак Знак"/>
    <w:basedOn w:val="a"/>
    <w:uiPriority w:val="99"/>
    <w:unhideWhenUsed/>
    <w:qFormat/>
    <w:rsid w:val="000928FD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9">
    <w:name w:val="No Spacing"/>
    <w:uiPriority w:val="1"/>
    <w:qFormat/>
    <w:rsid w:val="00501DA5"/>
    <w:pPr>
      <w:spacing w:after="0" w:line="240" w:lineRule="auto"/>
    </w:pPr>
    <w:rPr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ECCA-9AED-4A56-9928-3BF08083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melnic</dc:creator>
  <cp:keywords/>
  <dc:description/>
  <cp:lastModifiedBy>Kolea</cp:lastModifiedBy>
  <cp:revision>46</cp:revision>
  <cp:lastPrinted>2024-12-20T11:09:00Z</cp:lastPrinted>
  <dcterms:created xsi:type="dcterms:W3CDTF">2024-10-16T00:10:00Z</dcterms:created>
  <dcterms:modified xsi:type="dcterms:W3CDTF">2024-12-20T11:13:00Z</dcterms:modified>
</cp:coreProperties>
</file>