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A37BB6" w:rsidTr="009D3BC0">
        <w:trPr>
          <w:cantSplit/>
          <w:trHeight w:val="1558"/>
        </w:trPr>
        <w:tc>
          <w:tcPr>
            <w:tcW w:w="4536" w:type="dxa"/>
          </w:tcPr>
          <w:p w:rsidR="00A37BB6" w:rsidRDefault="00A37BB6">
            <w:pPr>
              <w:pStyle w:val="FR2"/>
              <w:tabs>
                <w:tab w:val="left" w:pos="-392"/>
              </w:tabs>
              <w:spacing w:before="0" w:line="240" w:lineRule="auto"/>
              <w:ind w:left="0" w:right="-108"/>
              <w:rPr>
                <w:rFonts w:ascii="Times New Roman" w:hAnsi="Times New Roman"/>
                <w:b/>
                <w:sz w:val="25"/>
                <w:szCs w:val="25"/>
                <w:lang w:val="zh-CN" w:eastAsia="zh-CN"/>
              </w:rPr>
            </w:pPr>
          </w:p>
          <w:p w:rsidR="00A37BB6" w:rsidRDefault="00A37BB6">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A37BB6" w:rsidRDefault="00A37BB6">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A37BB6" w:rsidRDefault="00A37BB6">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A37BB6" w:rsidRDefault="00A37BB6">
            <w:pPr>
              <w:ind w:left="175" w:right="176" w:hanging="141"/>
              <w:jc w:val="center"/>
              <w:rPr>
                <w:rFonts w:eastAsia="Times New Roman"/>
                <w:b/>
                <w:lang w:val="zh-CN" w:eastAsia="zh-CN"/>
              </w:rPr>
            </w:pPr>
            <w:r>
              <w:rPr>
                <w:noProof/>
              </w:rPr>
              <w:drawing>
                <wp:inline distT="0" distB="0" distL="0" distR="0">
                  <wp:extent cx="755650" cy="1009650"/>
                  <wp:effectExtent l="19050" t="0" r="635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5650" cy="100965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A37BB6" w:rsidRDefault="00A37BB6">
            <w:pPr>
              <w:pStyle w:val="FR2"/>
              <w:tabs>
                <w:tab w:val="left" w:pos="-392"/>
              </w:tabs>
              <w:spacing w:before="0" w:line="240" w:lineRule="auto"/>
              <w:ind w:left="0" w:right="-108" w:firstLine="601"/>
              <w:jc w:val="center"/>
              <w:rPr>
                <w:rFonts w:ascii="Times New Roman" w:hAnsi="Times New Roman"/>
                <w:b/>
                <w:sz w:val="25"/>
                <w:szCs w:val="25"/>
                <w:lang w:val="ru-RU"/>
              </w:rPr>
            </w:pPr>
          </w:p>
          <w:p w:rsidR="00A37BB6" w:rsidRDefault="00A37BB6">
            <w:pPr>
              <w:pStyle w:val="FR2"/>
              <w:tabs>
                <w:tab w:val="left" w:pos="-392"/>
              </w:tabs>
              <w:spacing w:before="0" w:line="240" w:lineRule="auto"/>
              <w:ind w:left="0" w:right="-108" w:firstLine="601"/>
              <w:jc w:val="center"/>
              <w:rPr>
                <w:rFonts w:ascii="Times New Roman" w:hAnsi="Times New Roman"/>
                <w:b/>
                <w:sz w:val="25"/>
                <w:szCs w:val="25"/>
                <w:lang w:val="ru-RU"/>
              </w:rPr>
            </w:pPr>
          </w:p>
          <w:p w:rsidR="00A37BB6" w:rsidRDefault="00A37BB6">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A37BB6" w:rsidRDefault="00A37BB6">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A37BB6" w:rsidTr="00A37BB6">
        <w:trPr>
          <w:cantSplit/>
          <w:trHeight w:val="620"/>
        </w:trPr>
        <w:tc>
          <w:tcPr>
            <w:tcW w:w="4536" w:type="dxa"/>
            <w:tcBorders>
              <w:top w:val="nil"/>
              <w:left w:val="nil"/>
              <w:bottom w:val="nil"/>
              <w:right w:val="single" w:sz="4" w:space="0" w:color="FFFFFF"/>
            </w:tcBorders>
            <w:hideMark/>
          </w:tcPr>
          <w:p w:rsidR="00A37BB6" w:rsidRDefault="005C42C4">
            <w:pPr>
              <w:pStyle w:val="1"/>
              <w:tabs>
                <w:tab w:val="left" w:pos="-392"/>
              </w:tabs>
              <w:spacing w:after="0" w:line="276" w:lineRule="auto"/>
              <w:jc w:val="center"/>
              <w:rPr>
                <w:rFonts w:ascii="Times New Roman" w:hAnsi="Times New Roman"/>
                <w:b w:val="0"/>
                <w:sz w:val="18"/>
                <w:szCs w:val="18"/>
                <w:lang w:val="zh-CN" w:eastAsia="zh-CN"/>
              </w:rPr>
            </w:pPr>
            <w:r w:rsidRPr="005C42C4">
              <w:pict>
                <v:line id="Прямая соединительная линия 3" o:spid="_x0000_s1026" style="position:absolute;left:0;text-align:left;z-index:251658240;mso-position-horizontal-relative:text;mso-position-vertical-relative:text" from="-19.95pt,27.7pt" to="499.65pt,27.7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r w:rsidR="00A37BB6">
              <w:rPr>
                <w:rFonts w:ascii="Times New Roman" w:hAnsi="Times New Roman"/>
                <w:b w:val="0"/>
                <w:sz w:val="18"/>
                <w:szCs w:val="18"/>
                <w:lang w:val="zh-CN" w:eastAsia="zh-CN"/>
              </w:rPr>
              <w:t>MD 6501 or. Anenii Noi, str. Suvorov, 6</w:t>
            </w:r>
          </w:p>
          <w:p w:rsidR="00A37BB6" w:rsidRDefault="00A37BB6">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A37BB6" w:rsidRDefault="00A37BB6">
            <w:pPr>
              <w:jc w:val="center"/>
              <w:rPr>
                <w:rFonts w:ascii="Times New Roman" w:eastAsia="Times New Roman" w:hAnsi="Times New Roman" w:cs="Times New Roman"/>
                <w:sz w:val="18"/>
                <w:szCs w:val="18"/>
                <w:lang w:val="en-US"/>
              </w:rPr>
            </w:pPr>
          </w:p>
        </w:tc>
        <w:tc>
          <w:tcPr>
            <w:tcW w:w="5475" w:type="dxa"/>
            <w:gridSpan w:val="2"/>
            <w:hideMark/>
          </w:tcPr>
          <w:p w:rsidR="00A37BB6" w:rsidRDefault="00A37BB6">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A37BB6" w:rsidRDefault="00A37BB6">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A37BB6" w:rsidRDefault="00A37BB6" w:rsidP="00A37BB6">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rsidR="00A37BB6" w:rsidRDefault="00A37BB6" w:rsidP="00A37BB6">
      <w:pPr>
        <w:spacing w:after="0" w:line="240" w:lineRule="auto"/>
        <w:jc w:val="center"/>
        <w:rPr>
          <w:rFonts w:ascii="Times New Roman" w:hAnsi="Times New Roman" w:cs="Times New Roman"/>
          <w:b/>
          <w:sz w:val="24"/>
          <w:szCs w:val="24"/>
          <w:u w:val="single"/>
          <w:lang w:val="ro-RO"/>
        </w:rPr>
      </w:pPr>
      <w:r>
        <w:rPr>
          <w:rFonts w:ascii="Times New Roman" w:hAnsi="Times New Roman" w:cs="Times New Roman"/>
          <w:b/>
          <w:sz w:val="24"/>
          <w:szCs w:val="24"/>
          <w:lang w:val="ro-RO"/>
        </w:rPr>
        <w:t xml:space="preserve">                                                                 </w:t>
      </w:r>
      <w:r w:rsidR="006F2142">
        <w:rPr>
          <w:rFonts w:ascii="Times New Roman" w:hAnsi="Times New Roman" w:cs="Times New Roman"/>
          <w:b/>
          <w:sz w:val="24"/>
          <w:szCs w:val="24"/>
          <w:lang w:val="ro-RO"/>
        </w:rPr>
        <w:t xml:space="preserve">              PROIECT nr. 9</w:t>
      </w:r>
      <w:r>
        <w:rPr>
          <w:rFonts w:ascii="Times New Roman" w:hAnsi="Times New Roman" w:cs="Times New Roman"/>
          <w:b/>
          <w:sz w:val="24"/>
          <w:szCs w:val="24"/>
          <w:lang w:val="ro-RO"/>
        </w:rPr>
        <w:t xml:space="preserve">_                                                                                                           </w:t>
      </w:r>
    </w:p>
    <w:p w:rsidR="00A37BB6" w:rsidRDefault="00A37BB6" w:rsidP="00A37BB6">
      <w:pPr>
        <w:spacing w:after="0" w:line="240" w:lineRule="auto"/>
        <w:jc w:val="center"/>
        <w:rPr>
          <w:rFonts w:ascii="Times New Roman" w:hAnsi="Times New Roman" w:cs="Times New Roman"/>
          <w:b/>
          <w:sz w:val="24"/>
          <w:szCs w:val="24"/>
          <w:u w:val="single"/>
          <w:lang w:val="ro-RO"/>
        </w:rPr>
      </w:pPr>
      <w:r>
        <w:rPr>
          <w:rFonts w:ascii="Times New Roman" w:hAnsi="Times New Roman" w:cs="Times New Roman"/>
          <w:b/>
          <w:sz w:val="24"/>
          <w:szCs w:val="24"/>
          <w:lang w:val="ro-RO"/>
        </w:rPr>
        <w:t xml:space="preserve">DECIZIE nr. 3/____                            </w:t>
      </w:r>
    </w:p>
    <w:p w:rsidR="00A37BB6" w:rsidRDefault="00A37BB6" w:rsidP="00A37BB6">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din  ___ decembrie  2023</w:t>
      </w:r>
    </w:p>
    <w:p w:rsidR="00A37BB6" w:rsidRDefault="00A37BB6" w:rsidP="00A37BB6">
      <w:pPr>
        <w:spacing w:after="0" w:line="240" w:lineRule="auto"/>
        <w:rPr>
          <w:rFonts w:ascii="Times New Roman" w:hAnsi="Times New Roman" w:cs="Times New Roman"/>
          <w:b/>
          <w:sz w:val="24"/>
          <w:szCs w:val="24"/>
          <w:lang w:val="ro-RO"/>
        </w:rPr>
      </w:pPr>
    </w:p>
    <w:p w:rsidR="00A37BB6" w:rsidRDefault="00A37BB6" w:rsidP="00A37BB6">
      <w:pPr>
        <w:spacing w:after="0" w:line="240" w:lineRule="auto"/>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Cu</w:t>
      </w:r>
      <w:r w:rsidR="009D3BC0">
        <w:rPr>
          <w:rFonts w:ascii="Times New Roman" w:hAnsi="Times New Roman" w:cs="Times New Roman"/>
          <w:b/>
          <w:color w:val="000000" w:themeColor="text1"/>
          <w:sz w:val="24"/>
          <w:szCs w:val="24"/>
          <w:lang w:val="ro-RO"/>
        </w:rPr>
        <w:t xml:space="preserve"> privire la transmiterea bunurilor</w:t>
      </w:r>
    </w:p>
    <w:p w:rsidR="00A37BB6" w:rsidRDefault="00A37BB6" w:rsidP="00A37BB6">
      <w:pPr>
        <w:spacing w:after="0" w:line="240" w:lineRule="auto"/>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aflat</w:t>
      </w:r>
      <w:r w:rsidR="009D3BC0">
        <w:rPr>
          <w:rFonts w:ascii="Times New Roman" w:hAnsi="Times New Roman" w:cs="Times New Roman"/>
          <w:b/>
          <w:color w:val="000000" w:themeColor="text1"/>
          <w:sz w:val="24"/>
          <w:szCs w:val="24"/>
          <w:lang w:val="ro-RO"/>
        </w:rPr>
        <w:t>e</w:t>
      </w:r>
      <w:r>
        <w:rPr>
          <w:rFonts w:ascii="Times New Roman" w:hAnsi="Times New Roman" w:cs="Times New Roman"/>
          <w:b/>
          <w:color w:val="000000" w:themeColor="text1"/>
          <w:sz w:val="24"/>
          <w:szCs w:val="24"/>
          <w:lang w:val="ro-RO"/>
        </w:rPr>
        <w:t xml:space="preserve"> la balanţa primăriei or. Anenii Noi</w:t>
      </w:r>
    </w:p>
    <w:p w:rsidR="00A37BB6" w:rsidRDefault="00A37BB6" w:rsidP="00A37BB6">
      <w:pPr>
        <w:spacing w:after="0" w:line="240" w:lineRule="auto"/>
        <w:rPr>
          <w:rFonts w:ascii="Times New Roman" w:hAnsi="Times New Roman" w:cs="Times New Roman"/>
          <w:b/>
          <w:sz w:val="24"/>
          <w:szCs w:val="24"/>
          <w:lang w:val="ro-RO"/>
        </w:rPr>
      </w:pPr>
    </w:p>
    <w:p w:rsidR="00A37BB6" w:rsidRDefault="00A37BB6" w:rsidP="00A37BB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temeiul Legii nr.523/1999 privind proprietatea publică a unităţilor administrativ-teritoriale; art.14  al Legii nr. 436/ 2006  privind administraţia publică locală cu modificările şi completările ulterioare; Regulamentul cu privire la modul de transmitere a bunurilor proprietate publică, aprobat prin HG nr. 901 din 31.12.2015”;</w:t>
      </w:r>
      <w:r>
        <w:rPr>
          <w:rFonts w:ascii="Times New Roman" w:hAnsi="Times New Roman" w:cs="Times New Roman"/>
          <w:b/>
          <w:sz w:val="24"/>
          <w:szCs w:val="24"/>
          <w:lang w:val="ro-RO"/>
        </w:rPr>
        <w:t xml:space="preserve"> </w:t>
      </w:r>
      <w:r>
        <w:rPr>
          <w:rFonts w:ascii="Times New Roman" w:hAnsi="Times New Roman" w:cs="Times New Roman"/>
          <w:sz w:val="24"/>
          <w:szCs w:val="24"/>
          <w:lang w:val="ro-RO"/>
        </w:rPr>
        <w:t>având avizele  comisiilor consultative de specialitate, Consiliul orăşenesc Anenii Noi:</w:t>
      </w:r>
    </w:p>
    <w:p w:rsidR="00A37BB6" w:rsidRDefault="00A37BB6" w:rsidP="00A37BB6">
      <w:pPr>
        <w:spacing w:after="0" w:line="240" w:lineRule="auto"/>
        <w:jc w:val="both"/>
        <w:rPr>
          <w:rFonts w:ascii="Times New Roman" w:hAnsi="Times New Roman" w:cs="Times New Roman"/>
          <w:sz w:val="24"/>
          <w:szCs w:val="24"/>
          <w:lang w:val="ro-RO"/>
        </w:rPr>
      </w:pPr>
    </w:p>
    <w:p w:rsidR="00A37BB6" w:rsidRDefault="00A37BB6" w:rsidP="00A37BB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DECIDE:</w:t>
      </w:r>
    </w:p>
    <w:p w:rsidR="00A37BB6" w:rsidRDefault="00A37BB6" w:rsidP="00A37BB6">
      <w:pPr>
        <w:spacing w:after="0" w:line="240" w:lineRule="auto"/>
        <w:rPr>
          <w:rFonts w:ascii="Times New Roman" w:hAnsi="Times New Roman" w:cs="Times New Roman"/>
          <w:b/>
          <w:sz w:val="24"/>
          <w:szCs w:val="24"/>
          <w:lang w:val="ro-RO"/>
        </w:rPr>
      </w:pPr>
    </w:p>
    <w:p w:rsidR="00A37BB6" w:rsidRPr="009D3BC0" w:rsidRDefault="00A37BB6" w:rsidP="00A37BB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1. Se transmit, cu titlu gratuit, de la balanţa Primăriei or. Anenii Noi la balanţa Liceului Teoretic „Mihai Eminescu” or. Anenii Noi bunurile</w:t>
      </w:r>
      <w:r w:rsidR="009D3BC0">
        <w:rPr>
          <w:rFonts w:ascii="Times New Roman" w:hAnsi="Times New Roman" w:cs="Times New Roman"/>
          <w:sz w:val="24"/>
          <w:szCs w:val="24"/>
          <w:lang w:val="ro-RO"/>
        </w:rPr>
        <w:t>:</w:t>
      </w:r>
    </w:p>
    <w:tbl>
      <w:tblPr>
        <w:tblStyle w:val="a7"/>
        <w:tblW w:w="0" w:type="auto"/>
        <w:tblInd w:w="-176" w:type="dxa"/>
        <w:tblLook w:val="04A0"/>
      </w:tblPr>
      <w:tblGrid>
        <w:gridCol w:w="877"/>
        <w:gridCol w:w="2607"/>
        <w:gridCol w:w="1558"/>
        <w:gridCol w:w="1560"/>
        <w:gridCol w:w="1570"/>
        <w:gridCol w:w="1575"/>
      </w:tblGrid>
      <w:tr w:rsidR="00A37BB6" w:rsidTr="009D3BC0">
        <w:tc>
          <w:tcPr>
            <w:tcW w:w="732" w:type="dxa"/>
          </w:tcPr>
          <w:p w:rsidR="00A37BB6" w:rsidRDefault="009D3BC0" w:rsidP="00A37BB6">
            <w:pPr>
              <w:jc w:val="both"/>
              <w:rPr>
                <w:rFonts w:ascii="Times New Roman" w:hAnsi="Times New Roman" w:cs="Times New Roman"/>
                <w:b/>
                <w:sz w:val="24"/>
                <w:szCs w:val="24"/>
                <w:lang w:val="ro-RO"/>
              </w:rPr>
            </w:pPr>
            <w:proofErr w:type="spellStart"/>
            <w:r>
              <w:rPr>
                <w:rFonts w:ascii="Times New Roman" w:hAnsi="Times New Roman" w:cs="Times New Roman"/>
                <w:b/>
                <w:sz w:val="24"/>
                <w:szCs w:val="24"/>
                <w:lang w:val="ro-RO"/>
              </w:rPr>
              <w:t>Nr.</w:t>
            </w:r>
            <w:r w:rsidR="00A37BB6">
              <w:rPr>
                <w:rFonts w:ascii="Times New Roman" w:hAnsi="Times New Roman" w:cs="Times New Roman"/>
                <w:b/>
                <w:sz w:val="24"/>
                <w:szCs w:val="24"/>
                <w:lang w:val="ro-RO"/>
              </w:rPr>
              <w:t>d</w:t>
            </w:r>
            <w:proofErr w:type="spellEnd"/>
            <w:r w:rsidR="00A37BB6">
              <w:rPr>
                <w:rFonts w:ascii="Times New Roman" w:hAnsi="Times New Roman" w:cs="Times New Roman"/>
                <w:b/>
                <w:sz w:val="24"/>
                <w:szCs w:val="24"/>
                <w:lang w:val="ro-RO"/>
              </w:rPr>
              <w:t>/o</w:t>
            </w:r>
          </w:p>
        </w:tc>
        <w:tc>
          <w:tcPr>
            <w:tcW w:w="2650" w:type="dxa"/>
          </w:tcPr>
          <w:p w:rsidR="00A37BB6" w:rsidRDefault="00A37BB6" w:rsidP="00A37BB6">
            <w:pPr>
              <w:jc w:val="both"/>
              <w:rPr>
                <w:rFonts w:ascii="Times New Roman" w:hAnsi="Times New Roman" w:cs="Times New Roman"/>
                <w:b/>
                <w:sz w:val="24"/>
                <w:szCs w:val="24"/>
                <w:lang w:val="ro-RO"/>
              </w:rPr>
            </w:pPr>
            <w:r>
              <w:rPr>
                <w:rFonts w:ascii="Times New Roman" w:hAnsi="Times New Roman" w:cs="Times New Roman"/>
                <w:b/>
                <w:sz w:val="24"/>
                <w:szCs w:val="24"/>
                <w:lang w:val="ro-RO"/>
              </w:rPr>
              <w:t>Denumirea</w:t>
            </w:r>
          </w:p>
        </w:tc>
        <w:tc>
          <w:tcPr>
            <w:tcW w:w="1590" w:type="dxa"/>
          </w:tcPr>
          <w:p w:rsidR="00A37BB6" w:rsidRDefault="00A37BB6" w:rsidP="00A37BB6">
            <w:pPr>
              <w:jc w:val="both"/>
              <w:rPr>
                <w:rFonts w:ascii="Times New Roman" w:hAnsi="Times New Roman" w:cs="Times New Roman"/>
                <w:b/>
                <w:sz w:val="24"/>
                <w:szCs w:val="24"/>
                <w:lang w:val="ro-RO"/>
              </w:rPr>
            </w:pPr>
            <w:r>
              <w:rPr>
                <w:rFonts w:ascii="Times New Roman" w:hAnsi="Times New Roman" w:cs="Times New Roman"/>
                <w:b/>
                <w:sz w:val="24"/>
                <w:szCs w:val="24"/>
                <w:lang w:val="ro-RO"/>
              </w:rPr>
              <w:t>Unit.</w:t>
            </w:r>
          </w:p>
        </w:tc>
        <w:tc>
          <w:tcPr>
            <w:tcW w:w="1590" w:type="dxa"/>
          </w:tcPr>
          <w:p w:rsidR="00A37BB6" w:rsidRDefault="00A37BB6" w:rsidP="00A37BB6">
            <w:pPr>
              <w:jc w:val="both"/>
              <w:rPr>
                <w:rFonts w:ascii="Times New Roman" w:hAnsi="Times New Roman" w:cs="Times New Roman"/>
                <w:b/>
                <w:sz w:val="24"/>
                <w:szCs w:val="24"/>
                <w:lang w:val="ro-RO"/>
              </w:rPr>
            </w:pPr>
            <w:r>
              <w:rPr>
                <w:rFonts w:ascii="Times New Roman" w:hAnsi="Times New Roman" w:cs="Times New Roman"/>
                <w:b/>
                <w:sz w:val="24"/>
                <w:szCs w:val="24"/>
                <w:lang w:val="ro-RO"/>
              </w:rPr>
              <w:t>Cant.</w:t>
            </w:r>
          </w:p>
        </w:tc>
        <w:tc>
          <w:tcPr>
            <w:tcW w:w="1592" w:type="dxa"/>
          </w:tcPr>
          <w:p w:rsidR="00A37BB6" w:rsidRDefault="00A37BB6" w:rsidP="00A37BB6">
            <w:pPr>
              <w:jc w:val="both"/>
              <w:rPr>
                <w:rFonts w:ascii="Times New Roman" w:hAnsi="Times New Roman" w:cs="Times New Roman"/>
                <w:b/>
                <w:sz w:val="24"/>
                <w:szCs w:val="24"/>
                <w:lang w:val="ro-RO"/>
              </w:rPr>
            </w:pPr>
            <w:r>
              <w:rPr>
                <w:rFonts w:ascii="Times New Roman" w:hAnsi="Times New Roman" w:cs="Times New Roman"/>
                <w:b/>
                <w:sz w:val="24"/>
                <w:szCs w:val="24"/>
                <w:lang w:val="ro-RO"/>
              </w:rPr>
              <w:t>Preţul (lei)</w:t>
            </w:r>
          </w:p>
        </w:tc>
        <w:tc>
          <w:tcPr>
            <w:tcW w:w="1593" w:type="dxa"/>
          </w:tcPr>
          <w:p w:rsidR="00A37BB6" w:rsidRDefault="00A37BB6" w:rsidP="00A37BB6">
            <w:pPr>
              <w:jc w:val="both"/>
              <w:rPr>
                <w:rFonts w:ascii="Times New Roman" w:hAnsi="Times New Roman" w:cs="Times New Roman"/>
                <w:b/>
                <w:sz w:val="24"/>
                <w:szCs w:val="24"/>
                <w:lang w:val="ro-RO"/>
              </w:rPr>
            </w:pPr>
            <w:r>
              <w:rPr>
                <w:rFonts w:ascii="Times New Roman" w:hAnsi="Times New Roman" w:cs="Times New Roman"/>
                <w:b/>
                <w:sz w:val="24"/>
                <w:szCs w:val="24"/>
                <w:lang w:val="ro-RO"/>
              </w:rPr>
              <w:t>Suma (lei)</w:t>
            </w:r>
          </w:p>
        </w:tc>
      </w:tr>
      <w:tr w:rsidR="00A37BB6" w:rsidRPr="009D3BC0" w:rsidTr="009D3BC0">
        <w:tc>
          <w:tcPr>
            <w:tcW w:w="732"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1</w:t>
            </w:r>
          </w:p>
        </w:tc>
        <w:tc>
          <w:tcPr>
            <w:tcW w:w="2650"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Mixer MG8CX</w:t>
            </w:r>
          </w:p>
        </w:tc>
        <w:tc>
          <w:tcPr>
            <w:tcW w:w="1590"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 xml:space="preserve"> buc.</w:t>
            </w:r>
          </w:p>
        </w:tc>
        <w:tc>
          <w:tcPr>
            <w:tcW w:w="1590"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1</w:t>
            </w:r>
          </w:p>
        </w:tc>
        <w:tc>
          <w:tcPr>
            <w:tcW w:w="1592"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3658,00</w:t>
            </w:r>
          </w:p>
        </w:tc>
        <w:tc>
          <w:tcPr>
            <w:tcW w:w="1593"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3658,00</w:t>
            </w:r>
          </w:p>
        </w:tc>
      </w:tr>
      <w:tr w:rsidR="00A37BB6" w:rsidRPr="009D3BC0" w:rsidTr="009D3BC0">
        <w:tc>
          <w:tcPr>
            <w:tcW w:w="732"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2</w:t>
            </w:r>
          </w:p>
        </w:tc>
        <w:tc>
          <w:tcPr>
            <w:tcW w:w="2650"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Boxa acustică B18HS</w:t>
            </w:r>
          </w:p>
        </w:tc>
        <w:tc>
          <w:tcPr>
            <w:tcW w:w="1590"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buc.</w:t>
            </w:r>
          </w:p>
        </w:tc>
        <w:tc>
          <w:tcPr>
            <w:tcW w:w="1590"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2</w:t>
            </w:r>
          </w:p>
        </w:tc>
        <w:tc>
          <w:tcPr>
            <w:tcW w:w="1592"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8020,00</w:t>
            </w:r>
          </w:p>
        </w:tc>
        <w:tc>
          <w:tcPr>
            <w:tcW w:w="1593"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16040,00</w:t>
            </w:r>
          </w:p>
        </w:tc>
      </w:tr>
      <w:tr w:rsidR="00A37BB6" w:rsidRPr="009D3BC0" w:rsidTr="009D3BC0">
        <w:tc>
          <w:tcPr>
            <w:tcW w:w="732"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3</w:t>
            </w:r>
          </w:p>
        </w:tc>
        <w:tc>
          <w:tcPr>
            <w:tcW w:w="2650"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Boxa acustică B215H</w:t>
            </w:r>
          </w:p>
        </w:tc>
        <w:tc>
          <w:tcPr>
            <w:tcW w:w="1590"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buc.</w:t>
            </w:r>
          </w:p>
        </w:tc>
        <w:tc>
          <w:tcPr>
            <w:tcW w:w="1590"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2</w:t>
            </w:r>
          </w:p>
        </w:tc>
        <w:tc>
          <w:tcPr>
            <w:tcW w:w="1592"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5528,00</w:t>
            </w:r>
          </w:p>
        </w:tc>
        <w:tc>
          <w:tcPr>
            <w:tcW w:w="1593"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11056,00</w:t>
            </w:r>
          </w:p>
        </w:tc>
      </w:tr>
      <w:tr w:rsidR="00A37BB6" w:rsidRPr="009D3BC0" w:rsidTr="009D3BC0">
        <w:tc>
          <w:tcPr>
            <w:tcW w:w="732"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4</w:t>
            </w:r>
          </w:p>
        </w:tc>
        <w:tc>
          <w:tcPr>
            <w:tcW w:w="2650"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Boxa acustică ELB15</w:t>
            </w:r>
          </w:p>
        </w:tc>
        <w:tc>
          <w:tcPr>
            <w:tcW w:w="1590"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buc.</w:t>
            </w:r>
          </w:p>
        </w:tc>
        <w:tc>
          <w:tcPr>
            <w:tcW w:w="1590"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1</w:t>
            </w:r>
          </w:p>
        </w:tc>
        <w:tc>
          <w:tcPr>
            <w:tcW w:w="1592"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6683,00</w:t>
            </w:r>
          </w:p>
        </w:tc>
        <w:tc>
          <w:tcPr>
            <w:tcW w:w="1593"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6683,00</w:t>
            </w:r>
          </w:p>
        </w:tc>
      </w:tr>
      <w:tr w:rsidR="00A37BB6" w:rsidRPr="009D3BC0" w:rsidTr="009D3BC0">
        <w:tc>
          <w:tcPr>
            <w:tcW w:w="732"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5</w:t>
            </w:r>
          </w:p>
        </w:tc>
        <w:tc>
          <w:tcPr>
            <w:tcW w:w="2650"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Cablu RX14</w:t>
            </w:r>
          </w:p>
        </w:tc>
        <w:tc>
          <w:tcPr>
            <w:tcW w:w="1590"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buc.</w:t>
            </w:r>
          </w:p>
        </w:tc>
        <w:tc>
          <w:tcPr>
            <w:tcW w:w="1590"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40</w:t>
            </w:r>
          </w:p>
        </w:tc>
        <w:tc>
          <w:tcPr>
            <w:tcW w:w="1592"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38,00</w:t>
            </w:r>
          </w:p>
        </w:tc>
        <w:tc>
          <w:tcPr>
            <w:tcW w:w="1593"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1520,00</w:t>
            </w:r>
          </w:p>
        </w:tc>
      </w:tr>
      <w:tr w:rsidR="00A37BB6" w:rsidRPr="009D3BC0" w:rsidTr="009D3BC0">
        <w:tc>
          <w:tcPr>
            <w:tcW w:w="732"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6</w:t>
            </w:r>
          </w:p>
        </w:tc>
        <w:tc>
          <w:tcPr>
            <w:tcW w:w="2650"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 xml:space="preserve">Suport </w:t>
            </w:r>
            <w:proofErr w:type="spellStart"/>
            <w:r w:rsidRPr="009D3BC0">
              <w:rPr>
                <w:rFonts w:ascii="Times New Roman" w:hAnsi="Times New Roman" w:cs="Times New Roman"/>
                <w:sz w:val="24"/>
                <w:szCs w:val="24"/>
                <w:lang w:val="ro-RO"/>
              </w:rPr>
              <w:t>SatB</w:t>
            </w:r>
            <w:proofErr w:type="spellEnd"/>
          </w:p>
        </w:tc>
        <w:tc>
          <w:tcPr>
            <w:tcW w:w="1590"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buc.</w:t>
            </w:r>
          </w:p>
        </w:tc>
        <w:tc>
          <w:tcPr>
            <w:tcW w:w="1590"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2</w:t>
            </w:r>
          </w:p>
        </w:tc>
        <w:tc>
          <w:tcPr>
            <w:tcW w:w="1592"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480,00</w:t>
            </w:r>
          </w:p>
        </w:tc>
        <w:tc>
          <w:tcPr>
            <w:tcW w:w="1593"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960,00</w:t>
            </w:r>
          </w:p>
        </w:tc>
      </w:tr>
      <w:tr w:rsidR="00A37BB6" w:rsidRPr="009D3BC0" w:rsidTr="009D3BC0">
        <w:tc>
          <w:tcPr>
            <w:tcW w:w="732"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7</w:t>
            </w:r>
          </w:p>
        </w:tc>
        <w:tc>
          <w:tcPr>
            <w:tcW w:w="2650"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Microfon STWM712H</w:t>
            </w:r>
          </w:p>
        </w:tc>
        <w:tc>
          <w:tcPr>
            <w:tcW w:w="1590"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buc.</w:t>
            </w:r>
          </w:p>
        </w:tc>
        <w:tc>
          <w:tcPr>
            <w:tcW w:w="1590"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1</w:t>
            </w:r>
          </w:p>
        </w:tc>
        <w:tc>
          <w:tcPr>
            <w:tcW w:w="1592"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2442,00</w:t>
            </w:r>
          </w:p>
        </w:tc>
        <w:tc>
          <w:tcPr>
            <w:tcW w:w="1593"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2442,00</w:t>
            </w:r>
          </w:p>
        </w:tc>
      </w:tr>
      <w:tr w:rsidR="00A37BB6" w:rsidRPr="009D3BC0" w:rsidTr="009D3BC0">
        <w:tc>
          <w:tcPr>
            <w:tcW w:w="732"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8</w:t>
            </w:r>
          </w:p>
        </w:tc>
        <w:tc>
          <w:tcPr>
            <w:tcW w:w="2650"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Accesoriu SRH50BK</w:t>
            </w:r>
          </w:p>
        </w:tc>
        <w:tc>
          <w:tcPr>
            <w:tcW w:w="1590"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buc.</w:t>
            </w:r>
          </w:p>
        </w:tc>
        <w:tc>
          <w:tcPr>
            <w:tcW w:w="1590"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1</w:t>
            </w:r>
          </w:p>
        </w:tc>
        <w:tc>
          <w:tcPr>
            <w:tcW w:w="1592"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320,00</w:t>
            </w:r>
          </w:p>
        </w:tc>
        <w:tc>
          <w:tcPr>
            <w:tcW w:w="1593" w:type="dxa"/>
          </w:tcPr>
          <w:p w:rsidR="00A37BB6" w:rsidRPr="009D3BC0" w:rsidRDefault="00A37BB6" w:rsidP="00A37BB6">
            <w:pPr>
              <w:jc w:val="both"/>
              <w:rPr>
                <w:rFonts w:ascii="Times New Roman" w:hAnsi="Times New Roman" w:cs="Times New Roman"/>
                <w:sz w:val="24"/>
                <w:szCs w:val="24"/>
                <w:lang w:val="ro-RO"/>
              </w:rPr>
            </w:pPr>
            <w:r w:rsidRPr="009D3BC0">
              <w:rPr>
                <w:rFonts w:ascii="Times New Roman" w:hAnsi="Times New Roman" w:cs="Times New Roman"/>
                <w:sz w:val="24"/>
                <w:szCs w:val="24"/>
                <w:lang w:val="ro-RO"/>
              </w:rPr>
              <w:t>320,00</w:t>
            </w:r>
          </w:p>
        </w:tc>
      </w:tr>
      <w:tr w:rsidR="00A37BB6" w:rsidTr="009D3BC0">
        <w:tc>
          <w:tcPr>
            <w:tcW w:w="732" w:type="dxa"/>
          </w:tcPr>
          <w:p w:rsidR="00A37BB6" w:rsidRDefault="00A37BB6" w:rsidP="00A37BB6">
            <w:pPr>
              <w:jc w:val="both"/>
              <w:rPr>
                <w:rFonts w:ascii="Times New Roman" w:hAnsi="Times New Roman" w:cs="Times New Roman"/>
                <w:b/>
                <w:sz w:val="24"/>
                <w:szCs w:val="24"/>
                <w:lang w:val="ro-RO"/>
              </w:rPr>
            </w:pPr>
          </w:p>
        </w:tc>
        <w:tc>
          <w:tcPr>
            <w:tcW w:w="7422" w:type="dxa"/>
            <w:gridSpan w:val="4"/>
          </w:tcPr>
          <w:p w:rsidR="00A37BB6" w:rsidRDefault="00A37BB6" w:rsidP="00A37BB6">
            <w:pPr>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9D3BC0">
              <w:rPr>
                <w:rFonts w:ascii="Times New Roman" w:hAnsi="Times New Roman" w:cs="Times New Roman"/>
                <w:b/>
                <w:sz w:val="24"/>
                <w:szCs w:val="24"/>
                <w:lang w:val="ro-RO"/>
              </w:rPr>
              <w:t xml:space="preserve">                                                                   </w:t>
            </w:r>
            <w:r>
              <w:rPr>
                <w:rFonts w:ascii="Times New Roman" w:hAnsi="Times New Roman" w:cs="Times New Roman"/>
                <w:b/>
                <w:sz w:val="24"/>
                <w:szCs w:val="24"/>
                <w:lang w:val="ro-RO"/>
              </w:rPr>
              <w:t>TOTAL:</w:t>
            </w:r>
          </w:p>
        </w:tc>
        <w:tc>
          <w:tcPr>
            <w:tcW w:w="1593" w:type="dxa"/>
          </w:tcPr>
          <w:p w:rsidR="00A37BB6" w:rsidRDefault="00A37BB6" w:rsidP="00A37BB6">
            <w:pPr>
              <w:jc w:val="both"/>
              <w:rPr>
                <w:rFonts w:ascii="Times New Roman" w:hAnsi="Times New Roman" w:cs="Times New Roman"/>
                <w:b/>
                <w:sz w:val="24"/>
                <w:szCs w:val="24"/>
                <w:lang w:val="ro-RO"/>
              </w:rPr>
            </w:pPr>
            <w:r>
              <w:rPr>
                <w:rFonts w:ascii="Times New Roman" w:hAnsi="Times New Roman" w:cs="Times New Roman"/>
                <w:b/>
                <w:sz w:val="24"/>
                <w:szCs w:val="24"/>
                <w:lang w:val="ro-RO"/>
              </w:rPr>
              <w:t>42679,00</w:t>
            </w:r>
          </w:p>
        </w:tc>
      </w:tr>
    </w:tbl>
    <w:p w:rsidR="00A37BB6" w:rsidRDefault="00A37BB6" w:rsidP="00A37BB6">
      <w:pPr>
        <w:spacing w:after="0" w:line="240" w:lineRule="auto"/>
        <w:jc w:val="both"/>
        <w:rPr>
          <w:rFonts w:ascii="Times New Roman" w:hAnsi="Times New Roman" w:cs="Times New Roman"/>
          <w:b/>
          <w:sz w:val="24"/>
          <w:szCs w:val="24"/>
          <w:lang w:val="ro-RO"/>
        </w:rPr>
      </w:pPr>
    </w:p>
    <w:p w:rsidR="00A37BB6" w:rsidRDefault="00A37BB6" w:rsidP="00A37BB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 Se deleagă primarul or. Anenii Noi, dl Alexandr </w:t>
      </w:r>
      <w:proofErr w:type="spellStart"/>
      <w:r>
        <w:rPr>
          <w:rFonts w:ascii="Times New Roman" w:hAnsi="Times New Roman" w:cs="Times New Roman"/>
          <w:sz w:val="24"/>
          <w:szCs w:val="24"/>
          <w:lang w:val="ro-RO"/>
        </w:rPr>
        <w:t>Maţarin</w:t>
      </w:r>
      <w:proofErr w:type="spellEnd"/>
      <w:r>
        <w:rPr>
          <w:rFonts w:ascii="Times New Roman" w:hAnsi="Times New Roman" w:cs="Times New Roman"/>
          <w:sz w:val="24"/>
          <w:szCs w:val="24"/>
          <w:lang w:val="ro-RO"/>
        </w:rPr>
        <w:t>, să instituie comisia de predare primire, conform prevederilor legislaţiei în vigoare.</w:t>
      </w:r>
    </w:p>
    <w:p w:rsidR="00A37BB6" w:rsidRDefault="009D3BC0" w:rsidP="00A37BB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2.1  Bunurile</w:t>
      </w:r>
      <w:r w:rsidR="00A37BB6">
        <w:rPr>
          <w:rFonts w:ascii="Times New Roman" w:hAnsi="Times New Roman" w:cs="Times New Roman"/>
          <w:sz w:val="24"/>
          <w:szCs w:val="24"/>
          <w:lang w:val="ro-RO"/>
        </w:rPr>
        <w:t xml:space="preserve"> transmis</w:t>
      </w:r>
      <w:r>
        <w:rPr>
          <w:rFonts w:ascii="Times New Roman" w:hAnsi="Times New Roman" w:cs="Times New Roman"/>
          <w:sz w:val="24"/>
          <w:szCs w:val="24"/>
          <w:lang w:val="ro-RO"/>
        </w:rPr>
        <w:t>e se vor</w:t>
      </w:r>
      <w:r w:rsidR="00A37BB6">
        <w:rPr>
          <w:rFonts w:ascii="Times New Roman" w:hAnsi="Times New Roman" w:cs="Times New Roman"/>
          <w:sz w:val="24"/>
          <w:szCs w:val="24"/>
          <w:lang w:val="ro-RO"/>
        </w:rPr>
        <w:t xml:space="preserve"> utiliza în strictă conformitate cu destinaţia.</w:t>
      </w:r>
    </w:p>
    <w:p w:rsidR="00A37BB6" w:rsidRDefault="00A37BB6" w:rsidP="00A37BB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2.2 Transmiterea, vânzarea sau darea în folosinţă la o altă persoană juridică ş</w:t>
      </w:r>
      <w:r w:rsidR="009D3BC0">
        <w:rPr>
          <w:rFonts w:ascii="Times New Roman" w:hAnsi="Times New Roman" w:cs="Times New Roman"/>
          <w:sz w:val="24"/>
          <w:szCs w:val="24"/>
          <w:lang w:val="ro-RO"/>
        </w:rPr>
        <w:t xml:space="preserve">i/sau persoană fizică a bunurilor </w:t>
      </w:r>
      <w:r>
        <w:rPr>
          <w:rFonts w:ascii="Times New Roman" w:hAnsi="Times New Roman" w:cs="Times New Roman"/>
          <w:sz w:val="24"/>
          <w:szCs w:val="24"/>
          <w:lang w:val="ro-RO"/>
        </w:rPr>
        <w:t>este interzisă.</w:t>
      </w:r>
    </w:p>
    <w:p w:rsidR="00A37BB6" w:rsidRDefault="00A37BB6" w:rsidP="00A37BB6">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A37BB6" w:rsidRDefault="00A37BB6" w:rsidP="00A37BB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A37BB6" w:rsidRDefault="00A37BB6" w:rsidP="00A37BB6">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Prezenta decizie, poate fi contestată de persoana interesată, prin intermediul Judecătoriei Anenii Noi, sediul Central (or. </w:t>
      </w:r>
      <w:proofErr w:type="spellStart"/>
      <w:r>
        <w:rPr>
          <w:rFonts w:ascii="Times New Roman" w:eastAsia="Times New Roman" w:hAnsi="Times New Roman" w:cs="Times New Roman"/>
          <w:sz w:val="24"/>
          <w:szCs w:val="24"/>
          <w:lang w:val="ro-RO"/>
        </w:rPr>
        <w:t>A.Noi</w:t>
      </w:r>
      <w:proofErr w:type="spellEnd"/>
      <w:r>
        <w:rPr>
          <w:rFonts w:ascii="Times New Roman" w:eastAsia="Times New Roman" w:hAnsi="Times New Roman" w:cs="Times New Roman"/>
          <w:sz w:val="24"/>
          <w:szCs w:val="24"/>
          <w:lang w:val="ro-RO"/>
        </w:rPr>
        <w:t xml:space="preserve">,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nr.15), în termen de 30 zile de la comunicare.</w:t>
      </w:r>
    </w:p>
    <w:p w:rsidR="00A37BB6" w:rsidRDefault="00A37BB6" w:rsidP="00A37BB6">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A37BB6" w:rsidRDefault="00A37BB6" w:rsidP="00A37BB6">
      <w:pPr>
        <w:spacing w:after="0" w:line="240" w:lineRule="auto"/>
        <w:contextualSpacing/>
        <w:jc w:val="both"/>
        <w:rPr>
          <w:rFonts w:ascii="Times New Roman" w:eastAsia="Times New Roman" w:hAnsi="Times New Roman" w:cs="Times New Roman"/>
          <w:color w:val="000000"/>
          <w:sz w:val="24"/>
          <w:szCs w:val="24"/>
          <w:lang w:val="ro-RO"/>
        </w:rPr>
      </w:pPr>
    </w:p>
    <w:p w:rsidR="00A37BB6" w:rsidRDefault="00A37BB6" w:rsidP="00A37BB6">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Preşedinte a şedinţei:                                                                       </w:t>
      </w:r>
    </w:p>
    <w:p w:rsidR="00A37BB6" w:rsidRDefault="00A37BB6" w:rsidP="00A37BB6">
      <w:pPr>
        <w:tabs>
          <w:tab w:val="left" w:pos="6750"/>
        </w:tabs>
        <w:spacing w:after="0" w:line="240" w:lineRule="auto"/>
        <w:contextualSpacing/>
        <w:rPr>
          <w:rFonts w:ascii="Times New Roman" w:eastAsia="Times New Roman" w:hAnsi="Times New Roman" w:cs="Times New Roman"/>
          <w:b/>
          <w:sz w:val="24"/>
          <w:szCs w:val="24"/>
          <w:lang w:val="ro-RO"/>
        </w:rPr>
      </w:pPr>
    </w:p>
    <w:p w:rsidR="00A37BB6" w:rsidRDefault="00A37BB6" w:rsidP="00A37BB6">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Contrasemnează:</w:t>
      </w:r>
    </w:p>
    <w:p w:rsidR="00A37BB6" w:rsidRDefault="00A37BB6" w:rsidP="00A37BB6">
      <w:pPr>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Secretara consiliului orășenesc                                                 </w:t>
      </w:r>
      <w:r w:rsidR="009D3BC0">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b/>
          <w:sz w:val="24"/>
          <w:szCs w:val="24"/>
          <w:lang w:val="ro-RO"/>
        </w:rPr>
        <w:t xml:space="preserve">       Rodica Melnic</w:t>
      </w:r>
    </w:p>
    <w:p w:rsidR="009102C4" w:rsidRDefault="00A37BB6" w:rsidP="009D3BC0">
      <w:pPr>
        <w:pStyle w:val="a4"/>
        <w:ind w:left="1380"/>
        <w:jc w:val="center"/>
        <w:rPr>
          <w:lang w:val="ro-RO"/>
        </w:rPr>
      </w:pPr>
      <w:r>
        <w:rPr>
          <w:lang w:val="ro-RO"/>
        </w:rPr>
        <w:t xml:space="preserve">Votat: </w:t>
      </w:r>
      <w:proofErr w:type="spellStart"/>
      <w:r>
        <w:rPr>
          <w:lang w:val="ro-RO"/>
        </w:rPr>
        <w:t>pro-</w:t>
      </w:r>
      <w:proofErr w:type="spellEnd"/>
      <w:r>
        <w:rPr>
          <w:lang w:val="ro-RO"/>
        </w:rPr>
        <w:t>; contra-0; abținut-0</w:t>
      </w:r>
    </w:p>
    <w:p w:rsidR="006F2142" w:rsidRDefault="006F2142" w:rsidP="006F2142">
      <w:pPr>
        <w:spacing w:after="0" w:line="240" w:lineRule="auto"/>
        <w:contextualSpacing/>
        <w:jc w:val="center"/>
        <w:rPr>
          <w:rFonts w:ascii="Times New Roman" w:hAnsi="Times New Roman" w:cs="Times New Roman"/>
          <w:sz w:val="20"/>
          <w:szCs w:val="20"/>
          <w:lang w:val="ro-RO"/>
        </w:rPr>
      </w:pPr>
    </w:p>
    <w:sectPr w:rsidR="006F2142" w:rsidSect="009D3BC0">
      <w:pgSz w:w="11906" w:h="16838"/>
      <w:pgMar w:top="142"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7BB6"/>
    <w:rsid w:val="005C42C4"/>
    <w:rsid w:val="006F2142"/>
    <w:rsid w:val="007B647C"/>
    <w:rsid w:val="009102C4"/>
    <w:rsid w:val="009D3BC0"/>
    <w:rsid w:val="00A37BB6"/>
    <w:rsid w:val="00A918E2"/>
    <w:rsid w:val="00F84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7C"/>
  </w:style>
  <w:style w:type="paragraph" w:styleId="1">
    <w:name w:val="heading 1"/>
    <w:basedOn w:val="a"/>
    <w:next w:val="a"/>
    <w:link w:val="10"/>
    <w:qFormat/>
    <w:rsid w:val="00A37BB6"/>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37BB6"/>
    <w:rPr>
      <w:rFonts w:ascii="Times Roumanian" w:eastAsia="Times New Roman" w:hAnsi="Times Roumanian" w:cs="Times New Roman"/>
      <w:b/>
      <w:sz w:val="24"/>
      <w:szCs w:val="20"/>
      <w:lang w:val="en-US"/>
    </w:rPr>
  </w:style>
  <w:style w:type="character" w:customStyle="1" w:styleId="a3">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4"/>
    <w:uiPriority w:val="34"/>
    <w:locked/>
    <w:rsid w:val="00A37BB6"/>
    <w:rPr>
      <w:rFonts w:ascii="Times New Roman" w:eastAsia="Times New Roman" w:hAnsi="Times New Roman" w:cs="Times New Roman"/>
      <w:sz w:val="20"/>
      <w:szCs w:val="20"/>
    </w:rPr>
  </w:style>
  <w:style w:type="paragraph" w:styleId="a4">
    <w:name w:val="List Paragraph"/>
    <w:aliases w:val="HotarirePunct1,Citation List,List Paragraph (numbered (a)),References,ReferencesCxSpLast,lp1,Normal 2,Colorful List - Accent 12,Main numbered paragraph,Bullets,Source,Resume Title,List_Paragraph,Multilevel para_II,List Paragraph1"/>
    <w:basedOn w:val="a"/>
    <w:link w:val="a3"/>
    <w:uiPriority w:val="34"/>
    <w:qFormat/>
    <w:rsid w:val="00A37BB6"/>
    <w:pPr>
      <w:spacing w:after="0" w:line="240" w:lineRule="auto"/>
      <w:ind w:left="720"/>
      <w:contextualSpacing/>
    </w:pPr>
    <w:rPr>
      <w:rFonts w:ascii="Times New Roman" w:eastAsia="Times New Roman" w:hAnsi="Times New Roman" w:cs="Times New Roman"/>
      <w:sz w:val="20"/>
      <w:szCs w:val="20"/>
    </w:rPr>
  </w:style>
  <w:style w:type="paragraph" w:customStyle="1" w:styleId="FR2">
    <w:name w:val="FR2"/>
    <w:uiPriority w:val="99"/>
    <w:qFormat/>
    <w:rsid w:val="00A37BB6"/>
    <w:pPr>
      <w:widowControl w:val="0"/>
      <w:snapToGrid w:val="0"/>
      <w:spacing w:before="100" w:after="0" w:line="360" w:lineRule="auto"/>
      <w:ind w:left="120"/>
    </w:pPr>
    <w:rPr>
      <w:rFonts w:ascii="Arial" w:eastAsia="Times New Roman" w:hAnsi="Arial" w:cs="Times New Roman"/>
      <w:sz w:val="24"/>
      <w:szCs w:val="20"/>
      <w:lang w:val="ro-RO"/>
    </w:rPr>
  </w:style>
  <w:style w:type="paragraph" w:styleId="a5">
    <w:name w:val="Balloon Text"/>
    <w:basedOn w:val="a"/>
    <w:link w:val="a6"/>
    <w:uiPriority w:val="99"/>
    <w:semiHidden/>
    <w:unhideWhenUsed/>
    <w:rsid w:val="00A37B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7BB6"/>
    <w:rPr>
      <w:rFonts w:ascii="Tahoma" w:hAnsi="Tahoma" w:cs="Tahoma"/>
      <w:sz w:val="16"/>
      <w:szCs w:val="16"/>
    </w:rPr>
  </w:style>
  <w:style w:type="table" w:styleId="a7">
    <w:name w:val="Table Grid"/>
    <w:basedOn w:val="a1"/>
    <w:uiPriority w:val="59"/>
    <w:rsid w:val="00A37B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aliases w:val="Знак,webb,webb Знак Знак"/>
    <w:basedOn w:val="a"/>
    <w:uiPriority w:val="99"/>
    <w:unhideWhenUsed/>
    <w:qFormat/>
    <w:rsid w:val="006F21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8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455</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6</cp:revision>
  <cp:lastPrinted>2023-12-06T09:30:00Z</cp:lastPrinted>
  <dcterms:created xsi:type="dcterms:W3CDTF">2023-12-06T09:17:00Z</dcterms:created>
  <dcterms:modified xsi:type="dcterms:W3CDTF">2023-12-08T10:26:00Z</dcterms:modified>
</cp:coreProperties>
</file>