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Ind w:w="-459" w:type="dxa"/>
        <w:tblLayout w:type="fixed"/>
        <w:tblLook w:val="04A0"/>
      </w:tblPr>
      <w:tblGrid>
        <w:gridCol w:w="4534"/>
        <w:gridCol w:w="660"/>
        <w:gridCol w:w="758"/>
        <w:gridCol w:w="4716"/>
      </w:tblGrid>
      <w:tr w:rsidR="00D6735C" w:rsidRPr="00255A5A" w:rsidTr="00402633">
        <w:trPr>
          <w:cantSplit/>
          <w:trHeight w:val="1983"/>
        </w:trPr>
        <w:tc>
          <w:tcPr>
            <w:tcW w:w="4536" w:type="dxa"/>
          </w:tcPr>
          <w:p w:rsidR="00D6735C" w:rsidRDefault="00D6735C" w:rsidP="00402633">
            <w:pPr>
              <w:pStyle w:val="FR2"/>
              <w:tabs>
                <w:tab w:val="left" w:pos="-392"/>
              </w:tabs>
              <w:spacing w:before="0" w:line="240" w:lineRule="auto"/>
              <w:ind w:left="0" w:right="-108"/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</w:pPr>
          </w:p>
          <w:p w:rsidR="00D6735C" w:rsidRDefault="00D6735C" w:rsidP="00402633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</w:pPr>
          </w:p>
          <w:p w:rsidR="00D6735C" w:rsidRPr="006F6615" w:rsidRDefault="00D6735C" w:rsidP="00402633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CONSILIUL</w:t>
            </w:r>
            <w:r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 xml:space="preserve"> OR</w:t>
            </w:r>
            <w:r>
              <w:rPr>
                <w:rFonts w:ascii="Times New Roman" w:hAnsi="Times New Roman"/>
                <w:b/>
                <w:sz w:val="25"/>
                <w:szCs w:val="25"/>
                <w:lang w:eastAsia="zh-CN"/>
              </w:rPr>
              <w:t>ĂŞENESC</w:t>
            </w:r>
          </w:p>
          <w:p w:rsidR="00D6735C" w:rsidRDefault="00D6735C" w:rsidP="00402633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>ANENII NOI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D6735C" w:rsidRPr="00255A5A" w:rsidRDefault="00D6735C" w:rsidP="00402633">
            <w:pPr>
              <w:ind w:left="175" w:right="176" w:hanging="141"/>
              <w:jc w:val="center"/>
              <w:rPr>
                <w:b/>
                <w:lang w:val="zh-CN"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754380" cy="1005840"/>
                  <wp:effectExtent l="19050" t="0" r="7620" b="0"/>
                  <wp:docPr id="1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D6735C" w:rsidRDefault="00D6735C" w:rsidP="00402633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D6735C" w:rsidRDefault="00D6735C" w:rsidP="00402633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D6735C" w:rsidRDefault="00D6735C" w:rsidP="00402633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ГОРОДСКОЙ СОВЕТ</w:t>
            </w:r>
          </w:p>
          <w:p w:rsidR="00D6735C" w:rsidRDefault="00D6735C" w:rsidP="00402633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b/>
                <w:lang w:val="zh-CN"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     АНЕНИЙ НОЙ</w:t>
            </w:r>
          </w:p>
        </w:tc>
      </w:tr>
      <w:tr w:rsidR="00D6735C" w:rsidRPr="00255A5A" w:rsidTr="00402633">
        <w:trPr>
          <w:cantSplit/>
          <w:trHeight w:val="620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D6735C" w:rsidRPr="009023C9" w:rsidRDefault="008C07EA" w:rsidP="00402633">
            <w:pPr>
              <w:pStyle w:val="1"/>
              <w:tabs>
                <w:tab w:val="left" w:pos="-392"/>
              </w:tabs>
              <w:spacing w:after="0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 w:rsidRPr="008C07EA">
              <w:rPr>
                <w:noProof/>
              </w:rPr>
              <w:pict>
                <v:line id="Прямая соединительная линия 3" o:spid="_x0000_s1026" style="position:absolute;left:0;text-align:left;z-index:251660288;visibility:visible;mso-wrap-distance-top:-3e-5mm;mso-wrap-distance-bottom:-3e-5mm;mso-position-horizontal-relative:text;mso-position-vertical-relative:text" from="-44.9pt,31.9pt" to="474.7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" o:allowincell="f" strokeweight="4.5pt">
                  <v:stroke linestyle="thinThick"/>
                  <o:lock v:ext="edit" shapetype="f"/>
                </v:line>
              </w:pict>
            </w:r>
            <w:r w:rsidR="00D6735C" w:rsidRPr="009023C9"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MD 6501 or. Anenii Noi, str. Suvorov, 6</w:t>
            </w:r>
          </w:p>
          <w:p w:rsidR="00D6735C" w:rsidRPr="009023C9" w:rsidRDefault="00D6735C" w:rsidP="00402633">
            <w:pPr>
              <w:tabs>
                <w:tab w:val="left" w:pos="-675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55A5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  </w:t>
            </w:r>
            <w:r w:rsidRPr="00255A5A">
              <w:rPr>
                <w:rFonts w:ascii="Times New Roman" w:hAnsi="Times New Roman"/>
                <w:sz w:val="18"/>
                <w:szCs w:val="18"/>
                <w:lang w:val="zh-CN" w:eastAsia="zh-CN"/>
              </w:rPr>
              <w:t xml:space="preserve"> tel/fax 026522108, </w:t>
            </w:r>
            <w:r w:rsidRPr="00255A5A">
              <w:rPr>
                <w:rFonts w:ascii="Times New Roman" w:hAnsi="Times New Roman"/>
                <w:sz w:val="18"/>
                <w:szCs w:val="18"/>
                <w:lang w:val="en-US"/>
              </w:rPr>
              <w:t>consiliulorasenesc@gmail.com</w:t>
            </w:r>
          </w:p>
        </w:tc>
        <w:tc>
          <w:tcPr>
            <w:tcW w:w="66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D6735C" w:rsidRPr="009023C9" w:rsidRDefault="00D6735C" w:rsidP="0040263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475" w:type="dxa"/>
            <w:gridSpan w:val="2"/>
            <w:hideMark/>
          </w:tcPr>
          <w:p w:rsidR="00D6735C" w:rsidRPr="009023C9" w:rsidRDefault="00D6735C" w:rsidP="00402633">
            <w:pPr>
              <w:pStyle w:val="1"/>
              <w:spacing w:after="0"/>
              <w:ind w:left="-391" w:firstLine="142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 w:rsidRPr="009023C9"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MD </w:t>
            </w:r>
            <w:r w:rsidRPr="009023C9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6501, г</w:t>
            </w:r>
            <w:r w:rsidRPr="009023C9"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.</w:t>
            </w:r>
            <w:proofErr w:type="spellStart"/>
            <w:r w:rsidRPr="009023C9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Анений</w:t>
            </w:r>
            <w:proofErr w:type="spellEnd"/>
            <w:r w:rsidRPr="009023C9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 Ной</w:t>
            </w:r>
            <w:r w:rsidRPr="009023C9"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, ул.</w:t>
            </w:r>
            <w:r w:rsidRPr="009023C9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Суворов</w:t>
            </w:r>
            <w:r w:rsidRPr="009023C9"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, </w:t>
            </w:r>
            <w:r w:rsidRPr="009023C9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6</w:t>
            </w:r>
          </w:p>
          <w:p w:rsidR="00D6735C" w:rsidRPr="009023C9" w:rsidRDefault="00D6735C" w:rsidP="00402633">
            <w:pPr>
              <w:ind w:left="-391"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5A5A">
              <w:rPr>
                <w:rFonts w:ascii="Times New Roman" w:hAnsi="Times New Roman"/>
                <w:sz w:val="18"/>
                <w:szCs w:val="18"/>
                <w:lang w:val="zh-CN" w:eastAsia="zh-CN"/>
              </w:rPr>
              <w:t xml:space="preserve"> тел/факс </w:t>
            </w:r>
            <w:r w:rsidRPr="00255A5A">
              <w:rPr>
                <w:rFonts w:ascii="Times New Roman" w:hAnsi="Times New Roman"/>
                <w:sz w:val="18"/>
                <w:szCs w:val="18"/>
              </w:rPr>
              <w:t>026522108,</w:t>
            </w:r>
            <w:proofErr w:type="spellStart"/>
            <w:r w:rsidRPr="00255A5A">
              <w:rPr>
                <w:rFonts w:ascii="Times New Roman" w:hAnsi="Times New Roman"/>
                <w:sz w:val="18"/>
                <w:szCs w:val="18"/>
                <w:lang w:val="en-US"/>
              </w:rPr>
              <w:t>consiliulorasenesc</w:t>
            </w:r>
            <w:proofErr w:type="spellEnd"/>
            <w:r w:rsidRPr="00255A5A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255A5A">
              <w:rPr>
                <w:rFonts w:ascii="Times New Roman" w:hAnsi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255A5A">
              <w:rPr>
                <w:rFonts w:ascii="Times New Roman" w:hAnsi="Times New Roman"/>
                <w:sz w:val="18"/>
                <w:szCs w:val="18"/>
              </w:rPr>
              <w:t>.</w:t>
            </w:r>
            <w:r w:rsidRPr="00255A5A">
              <w:rPr>
                <w:rFonts w:ascii="Times New Roman" w:hAnsi="Times New Roman"/>
                <w:sz w:val="18"/>
                <w:szCs w:val="18"/>
                <w:lang w:val="en-US"/>
              </w:rPr>
              <w:t>com</w:t>
            </w:r>
          </w:p>
        </w:tc>
      </w:tr>
    </w:tbl>
    <w:p w:rsidR="00D6735C" w:rsidRPr="00D6735C" w:rsidRDefault="00D6735C" w:rsidP="00D6735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</w:t>
      </w:r>
      <w:r w:rsidRPr="00D6735C">
        <w:rPr>
          <w:rFonts w:ascii="Times New Roman" w:hAnsi="Times New Roman"/>
          <w:b/>
          <w:sz w:val="24"/>
          <w:szCs w:val="24"/>
          <w:u w:val="single"/>
          <w:lang w:val="ro-RO"/>
        </w:rPr>
        <w:t>PROIECT</w:t>
      </w:r>
    </w:p>
    <w:p w:rsidR="00D6735C" w:rsidRDefault="00D6735C" w:rsidP="00D6735C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DECIZIE nr. 8/27                                          </w:t>
      </w:r>
    </w:p>
    <w:p w:rsidR="00D6735C" w:rsidRDefault="00D6735C" w:rsidP="00D6735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Din 07 decembrie 2022</w:t>
      </w:r>
    </w:p>
    <w:p w:rsidR="00D6735C" w:rsidRDefault="00D6735C" w:rsidP="00D6735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D6735C" w:rsidRPr="006F3894" w:rsidTr="00402633">
        <w:trPr>
          <w:trHeight w:val="64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35C" w:rsidRPr="00255A5A" w:rsidRDefault="00D6735C" w:rsidP="004026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55A5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Cu privire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la expunerea la licitație publică de vânzare-cumpărare a bunurilor imobile </w:t>
            </w:r>
          </w:p>
        </w:tc>
      </w:tr>
    </w:tbl>
    <w:p w:rsidR="00D6735C" w:rsidRDefault="00D6735C" w:rsidP="00D6735C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D6735C" w:rsidRDefault="00D6735C" w:rsidP="00D6735C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În temeiul art. 14, alin. (2),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lit.d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), art. 19 alin (4) al Legii nr. 436 din 28.12.2006 privind administrația publică locală, art. 9  al Legii nr. 121/2007 privind administrarea și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deetatizarea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proprietății publice, </w:t>
      </w:r>
      <w:r w:rsidRPr="007B4426">
        <w:rPr>
          <w:rFonts w:ascii="Times New Roman" w:hAnsi="Times New Roman"/>
          <w:sz w:val="24"/>
          <w:szCs w:val="24"/>
          <w:lang w:val="ro-RO"/>
        </w:rPr>
        <w:t>Legea nr.100/2017 privind actele normative cu modificările și completările ulterioare</w:t>
      </w:r>
      <w:r>
        <w:rPr>
          <w:rFonts w:ascii="Times New Roman" w:hAnsi="Times New Roman"/>
          <w:sz w:val="24"/>
          <w:szCs w:val="24"/>
          <w:lang w:val="ro-RO"/>
        </w:rPr>
        <w:t>, în conformitate cu Legea 1308  din 25.07.1997 privind prețul normativ și m</w:t>
      </w:r>
      <w:r w:rsidR="00254557">
        <w:rPr>
          <w:rFonts w:ascii="Times New Roman" w:hAnsi="Times New Roman"/>
          <w:sz w:val="24"/>
          <w:szCs w:val="24"/>
          <w:lang w:val="ro-RO"/>
        </w:rPr>
        <w:t xml:space="preserve">odul de </w:t>
      </w:r>
      <w:proofErr w:type="spellStart"/>
      <w:r w:rsidR="00254557">
        <w:rPr>
          <w:rFonts w:ascii="Times New Roman" w:hAnsi="Times New Roman"/>
          <w:sz w:val="24"/>
          <w:szCs w:val="24"/>
          <w:lang w:val="ro-RO"/>
        </w:rPr>
        <w:t>vînzare-cumpărare</w:t>
      </w:r>
      <w:proofErr w:type="spellEnd"/>
      <w:r w:rsidR="00254557">
        <w:rPr>
          <w:rFonts w:ascii="Times New Roman" w:hAnsi="Times New Roman"/>
          <w:sz w:val="24"/>
          <w:szCs w:val="24"/>
          <w:lang w:val="ro-RO"/>
        </w:rPr>
        <w:t xml:space="preserve"> a pămâ</w:t>
      </w:r>
      <w:r>
        <w:rPr>
          <w:rFonts w:ascii="Times New Roman" w:hAnsi="Times New Roman"/>
          <w:sz w:val="24"/>
          <w:szCs w:val="24"/>
          <w:lang w:val="ro-RO"/>
        </w:rPr>
        <w:t>ntului, Regulamentul privind licitațiile cu strigare și</w:t>
      </w:r>
      <w:r w:rsidR="00254557">
        <w:rPr>
          <w:rFonts w:ascii="Times New Roman" w:hAnsi="Times New Roman"/>
          <w:sz w:val="24"/>
          <w:szCs w:val="24"/>
          <w:lang w:val="ro-RO"/>
        </w:rPr>
        <w:t xml:space="preserve"> cu reducere aprobat prin Hotărâ</w:t>
      </w:r>
      <w:r>
        <w:rPr>
          <w:rFonts w:ascii="Times New Roman" w:hAnsi="Times New Roman"/>
          <w:sz w:val="24"/>
          <w:szCs w:val="24"/>
          <w:lang w:val="ro-RO"/>
        </w:rPr>
        <w:t>rea Guvernului nr. 136 din 2009 ;</w:t>
      </w:r>
      <w:r w:rsidRPr="007B4426">
        <w:rPr>
          <w:rFonts w:ascii="Times New Roman" w:hAnsi="Times New Roman"/>
          <w:sz w:val="24"/>
          <w:szCs w:val="24"/>
          <w:lang w:val="ro-RO"/>
        </w:rPr>
        <w:t xml:space="preserve"> având avizele comisiilor consultative de specialitate, </w:t>
      </w:r>
      <w:r w:rsidRPr="006A64FE">
        <w:rPr>
          <w:rFonts w:ascii="Times New Roman" w:hAnsi="Times New Roman"/>
          <w:sz w:val="24"/>
          <w:szCs w:val="24"/>
          <w:lang w:val="ro-RO"/>
        </w:rPr>
        <w:t xml:space="preserve">Consiliul orăşenesc Anenii Noi, </w:t>
      </w:r>
    </w:p>
    <w:p w:rsidR="00D6735C" w:rsidRPr="007B4426" w:rsidRDefault="00D6735C" w:rsidP="00D6735C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6735C" w:rsidRPr="007B4426" w:rsidRDefault="00D6735C" w:rsidP="00D6735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B442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DECIDE:</w:t>
      </w:r>
    </w:p>
    <w:tbl>
      <w:tblPr>
        <w:tblpPr w:leftFromText="180" w:rightFromText="180" w:vertAnchor="text" w:horzAnchor="margin" w:tblpX="114" w:tblpY="763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2977"/>
        <w:gridCol w:w="1276"/>
        <w:gridCol w:w="1276"/>
        <w:gridCol w:w="1417"/>
      </w:tblGrid>
      <w:tr w:rsidR="00D6735C" w:rsidRPr="00DB728B" w:rsidTr="00D6735C">
        <w:trPr>
          <w:trHeight w:val="701"/>
        </w:trPr>
        <w:tc>
          <w:tcPr>
            <w:tcW w:w="534" w:type="dxa"/>
          </w:tcPr>
          <w:p w:rsidR="00D6735C" w:rsidRPr="00DB728B" w:rsidRDefault="00D6735C" w:rsidP="00D6735C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Nr.</w:t>
            </w:r>
          </w:p>
        </w:tc>
        <w:tc>
          <w:tcPr>
            <w:tcW w:w="2409" w:type="dxa"/>
            <w:shd w:val="clear" w:color="auto" w:fill="auto"/>
          </w:tcPr>
          <w:p w:rsidR="00D6735C" w:rsidRPr="00DB728B" w:rsidRDefault="00254557" w:rsidP="00D6735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lang w:val="ro-RO"/>
              </w:rPr>
              <w:t>Tipu</w:t>
            </w:r>
            <w:proofErr w:type="spellEnd"/>
            <w:r>
              <w:rPr>
                <w:rFonts w:ascii="Times New Roman" w:hAnsi="Times New Roman"/>
                <w:b/>
                <w:lang w:val="ro-RO"/>
              </w:rPr>
              <w:t xml:space="preserve"> bunului imobil</w:t>
            </w:r>
            <w:r w:rsidR="00D6735C">
              <w:rPr>
                <w:rFonts w:ascii="Times New Roman" w:hAnsi="Times New Roman"/>
                <w:b/>
                <w:lang w:val="ro-RO"/>
              </w:rPr>
              <w:t xml:space="preserve"> (teren, construcție, încăpere izolată)</w:t>
            </w:r>
          </w:p>
        </w:tc>
        <w:tc>
          <w:tcPr>
            <w:tcW w:w="2977" w:type="dxa"/>
            <w:shd w:val="clear" w:color="auto" w:fill="auto"/>
          </w:tcPr>
          <w:p w:rsidR="00D6735C" w:rsidRPr="00DB728B" w:rsidRDefault="00D6735C" w:rsidP="00D6735C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DB728B">
              <w:rPr>
                <w:rFonts w:ascii="Times New Roman" w:hAnsi="Times New Roman"/>
                <w:b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lang w:val="ro-RO"/>
              </w:rPr>
              <w:t>Categoria de destinație/ modul de folosință</w:t>
            </w:r>
          </w:p>
        </w:tc>
        <w:tc>
          <w:tcPr>
            <w:tcW w:w="1276" w:type="dxa"/>
          </w:tcPr>
          <w:p w:rsidR="00D6735C" w:rsidRPr="00DB728B" w:rsidRDefault="00D6735C" w:rsidP="00D6735C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Domeniul</w:t>
            </w:r>
          </w:p>
        </w:tc>
        <w:tc>
          <w:tcPr>
            <w:tcW w:w="1276" w:type="dxa"/>
          </w:tcPr>
          <w:p w:rsidR="00D6735C" w:rsidRPr="00DB728B" w:rsidRDefault="00D6735C" w:rsidP="00D6735C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Suprafața (ha)</w:t>
            </w:r>
          </w:p>
        </w:tc>
        <w:tc>
          <w:tcPr>
            <w:tcW w:w="1417" w:type="dxa"/>
            <w:shd w:val="clear" w:color="auto" w:fill="auto"/>
          </w:tcPr>
          <w:p w:rsidR="00D6735C" w:rsidRPr="00DB728B" w:rsidRDefault="00D6735C" w:rsidP="00D6735C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Nr. cadastral</w:t>
            </w:r>
          </w:p>
        </w:tc>
      </w:tr>
      <w:tr w:rsidR="00D6735C" w:rsidRPr="00DB728B" w:rsidTr="00D6735C">
        <w:trPr>
          <w:trHeight w:val="455"/>
        </w:trPr>
        <w:tc>
          <w:tcPr>
            <w:tcW w:w="534" w:type="dxa"/>
          </w:tcPr>
          <w:p w:rsidR="00D6735C" w:rsidRPr="00DB728B" w:rsidRDefault="00D6735C" w:rsidP="00D6735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D6735C" w:rsidRPr="00DB728B" w:rsidRDefault="00D6735C" w:rsidP="00D6735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teren</w:t>
            </w:r>
          </w:p>
        </w:tc>
        <w:tc>
          <w:tcPr>
            <w:tcW w:w="2977" w:type="dxa"/>
            <w:shd w:val="clear" w:color="auto" w:fill="auto"/>
          </w:tcPr>
          <w:p w:rsidR="00D6735C" w:rsidRPr="00DB728B" w:rsidRDefault="00D6735C" w:rsidP="00D6735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DE3A91">
              <w:rPr>
                <w:rFonts w:ascii="Times New Roman" w:hAnsi="Times New Roman"/>
                <w:lang w:val="ro-RO"/>
              </w:rPr>
              <w:t>Din intravilan/ aferent obiectivului destinat locuinței</w:t>
            </w:r>
          </w:p>
        </w:tc>
        <w:tc>
          <w:tcPr>
            <w:tcW w:w="1276" w:type="dxa"/>
          </w:tcPr>
          <w:p w:rsidR="00D6735C" w:rsidRPr="00DB728B" w:rsidRDefault="00D6735C" w:rsidP="00D6735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privat</w:t>
            </w:r>
          </w:p>
        </w:tc>
        <w:tc>
          <w:tcPr>
            <w:tcW w:w="1276" w:type="dxa"/>
          </w:tcPr>
          <w:p w:rsidR="00D6735C" w:rsidRPr="00DB728B" w:rsidRDefault="00D6735C" w:rsidP="00D6735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0,0700 </w:t>
            </w:r>
          </w:p>
        </w:tc>
        <w:tc>
          <w:tcPr>
            <w:tcW w:w="1417" w:type="dxa"/>
            <w:shd w:val="clear" w:color="auto" w:fill="auto"/>
          </w:tcPr>
          <w:p w:rsidR="00D6735C" w:rsidRPr="00DB728B" w:rsidRDefault="00D6735C" w:rsidP="00D6735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1001207.033</w:t>
            </w:r>
          </w:p>
        </w:tc>
      </w:tr>
      <w:tr w:rsidR="00D6735C" w:rsidRPr="00DB728B" w:rsidTr="00D6735C">
        <w:trPr>
          <w:trHeight w:val="646"/>
        </w:trPr>
        <w:tc>
          <w:tcPr>
            <w:tcW w:w="534" w:type="dxa"/>
          </w:tcPr>
          <w:p w:rsidR="00D6735C" w:rsidRPr="00DB728B" w:rsidRDefault="00D6735C" w:rsidP="00D6735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D6735C" w:rsidRPr="00DB728B" w:rsidRDefault="00D6735C" w:rsidP="00D6735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teren </w:t>
            </w:r>
          </w:p>
        </w:tc>
        <w:tc>
          <w:tcPr>
            <w:tcW w:w="2977" w:type="dxa"/>
            <w:shd w:val="clear" w:color="auto" w:fill="auto"/>
          </w:tcPr>
          <w:p w:rsidR="00D6735C" w:rsidRPr="00DB728B" w:rsidRDefault="00D6735C" w:rsidP="00D6735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Din intravilan/aferent obiectivului destinat locuinței </w:t>
            </w:r>
          </w:p>
        </w:tc>
        <w:tc>
          <w:tcPr>
            <w:tcW w:w="1276" w:type="dxa"/>
          </w:tcPr>
          <w:p w:rsidR="00D6735C" w:rsidRPr="00DB728B" w:rsidRDefault="00D6735C" w:rsidP="00D6735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privat</w:t>
            </w:r>
          </w:p>
        </w:tc>
        <w:tc>
          <w:tcPr>
            <w:tcW w:w="1276" w:type="dxa"/>
          </w:tcPr>
          <w:p w:rsidR="00D6735C" w:rsidRPr="00DB728B" w:rsidRDefault="00D6735C" w:rsidP="00D6735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0,0454</w:t>
            </w:r>
          </w:p>
        </w:tc>
        <w:tc>
          <w:tcPr>
            <w:tcW w:w="1417" w:type="dxa"/>
            <w:shd w:val="clear" w:color="auto" w:fill="auto"/>
          </w:tcPr>
          <w:p w:rsidR="00D6735C" w:rsidRPr="00DB728B" w:rsidRDefault="00D6735C" w:rsidP="00D6735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1001204.213</w:t>
            </w:r>
          </w:p>
        </w:tc>
      </w:tr>
    </w:tbl>
    <w:p w:rsidR="00D6735C" w:rsidRPr="00D6735C" w:rsidRDefault="00D6735C" w:rsidP="00D6735C">
      <w:pPr>
        <w:pStyle w:val="a4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Se expune la licitație publică de vânzare-cumpărare bunurile imobile proprietate publică a UAT Anenii Noi, după cum urmează:</w:t>
      </w:r>
    </w:p>
    <w:p w:rsidR="00D6735C" w:rsidRDefault="00D6735C" w:rsidP="00D6735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Comisia de licitație instituită prin decizia consiliului orășenesc nr. 13/10  din 16.12.2019 va asigura organizarea și desfășurarea licitației de vânzare-cumpărare și va stabili prețul inițial de expunere și a taxei de participare  pentru persoanele fizice și juridice, și a modului și termenelor de achitare a costului. Prețul inițial de expunere la licitație trebuie să fie egal cu cel puțin valoarea de piață a terenului, dar nu mai mic decât prețul normativ calculat.</w:t>
      </w:r>
    </w:p>
    <w:p w:rsidR="00D6735C" w:rsidRDefault="00D6735C" w:rsidP="00D6735C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Se stabilește că, câștigătorul licitației va achita în bugetul orașului toate cheltuielile efectuate pentru pregătirea bunurilor imobile sus menționate. </w:t>
      </w:r>
    </w:p>
    <w:p w:rsidR="00D6735C" w:rsidRPr="004F1DE2" w:rsidRDefault="00D6735C" w:rsidP="00D6735C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Primarul or. Anenii Noi va asigura încheierea contractelor de vânzare-cumpărare  ale bunurilor .</w:t>
      </w:r>
    </w:p>
    <w:p w:rsidR="00D6735C" w:rsidRPr="00D6735C" w:rsidRDefault="00D6735C" w:rsidP="00D6735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4F1DE2">
        <w:rPr>
          <w:rFonts w:ascii="Times New Roman" w:hAnsi="Times New Roman"/>
          <w:sz w:val="24"/>
          <w:szCs w:val="24"/>
          <w:lang w:val="ro-RO"/>
        </w:rPr>
        <w:t xml:space="preserve">Prezenta decizie, poate fi notificată autorității publice emitente de Oficiului Teritorial Căușeni al Cancelariei de Stat în termen de 30 de zile de la data includerii actului în </w:t>
      </w:r>
      <w:r>
        <w:rPr>
          <w:rFonts w:ascii="Times New Roman" w:hAnsi="Times New Roman"/>
          <w:sz w:val="24"/>
          <w:szCs w:val="24"/>
          <w:lang w:val="ro-RO"/>
        </w:rPr>
        <w:t>RSAL.</w:t>
      </w:r>
    </w:p>
    <w:p w:rsidR="00D6735C" w:rsidRPr="004F1DE2" w:rsidRDefault="00D6735C" w:rsidP="00D6735C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4F1DE2">
        <w:rPr>
          <w:rFonts w:ascii="Times New Roman" w:eastAsia="Times New Roman" w:hAnsi="Times New Roman"/>
          <w:sz w:val="24"/>
          <w:szCs w:val="24"/>
          <w:lang w:val="ro-RO"/>
        </w:rPr>
        <w:t>Prezenta decizie, poate fi contestată de persoana interesată, prin intermediul Judecătoriei Anenii Noi, sediul Central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(or. A.</w:t>
      </w:r>
      <w:r w:rsidRPr="004F1DE2">
        <w:rPr>
          <w:rFonts w:ascii="Times New Roman" w:eastAsia="Times New Roman" w:hAnsi="Times New Roman"/>
          <w:sz w:val="24"/>
          <w:szCs w:val="24"/>
          <w:lang w:val="ro-RO"/>
        </w:rPr>
        <w:t xml:space="preserve"> Noi, str. </w:t>
      </w:r>
      <w:proofErr w:type="spellStart"/>
      <w:r w:rsidRPr="004F1DE2">
        <w:rPr>
          <w:rFonts w:ascii="Times New Roman" w:eastAsia="Times New Roman" w:hAnsi="Times New Roman"/>
          <w:sz w:val="24"/>
          <w:szCs w:val="24"/>
          <w:lang w:val="ro-RO"/>
        </w:rPr>
        <w:t>Marțișor</w:t>
      </w:r>
      <w:proofErr w:type="spellEnd"/>
      <w:r w:rsidRPr="004F1DE2">
        <w:rPr>
          <w:rFonts w:ascii="Times New Roman" w:eastAsia="Times New Roman" w:hAnsi="Times New Roman"/>
          <w:sz w:val="24"/>
          <w:szCs w:val="24"/>
          <w:lang w:val="ro-RO"/>
        </w:rPr>
        <w:t xml:space="preserve"> nr. 15), în termen de 30 de zile de la comunicare.</w:t>
      </w:r>
    </w:p>
    <w:p w:rsidR="00D6735C" w:rsidRPr="00D6735C" w:rsidRDefault="00D6735C" w:rsidP="00D6735C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4F1DE2">
        <w:rPr>
          <w:rFonts w:ascii="Times New Roman" w:eastAsia="Times New Roman" w:hAnsi="Times New Roman"/>
          <w:sz w:val="24"/>
          <w:szCs w:val="24"/>
          <w:lang w:val="ro-RO"/>
        </w:rPr>
        <w:t xml:space="preserve">Controlul asupra executării prezentei decizii se atribuie dlui </w:t>
      </w:r>
      <w:proofErr w:type="spellStart"/>
      <w:r w:rsidRPr="004F1DE2">
        <w:rPr>
          <w:rFonts w:ascii="Times New Roman" w:eastAsia="Times New Roman" w:hAnsi="Times New Roman"/>
          <w:sz w:val="24"/>
          <w:szCs w:val="24"/>
          <w:lang w:val="ro-RO"/>
        </w:rPr>
        <w:t>Maţarin</w:t>
      </w:r>
      <w:proofErr w:type="spellEnd"/>
      <w:r w:rsidRPr="004F1DE2">
        <w:rPr>
          <w:rFonts w:ascii="Times New Roman" w:eastAsia="Times New Roman" w:hAnsi="Times New Roman"/>
          <w:sz w:val="24"/>
          <w:szCs w:val="24"/>
          <w:lang w:val="ro-RO"/>
        </w:rPr>
        <w:t xml:space="preserve"> A., primar.</w:t>
      </w:r>
    </w:p>
    <w:p w:rsidR="00D6735C" w:rsidRPr="004F1DE2" w:rsidRDefault="00D6735C" w:rsidP="00D6735C">
      <w:pPr>
        <w:pStyle w:val="a4"/>
        <w:spacing w:after="0"/>
        <w:ind w:left="777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D6735C" w:rsidRPr="007E14E2" w:rsidRDefault="00D6735C" w:rsidP="00D6735C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7E14E2">
        <w:rPr>
          <w:rFonts w:ascii="Times New Roman" w:hAnsi="Times New Roman"/>
          <w:b/>
          <w:sz w:val="24"/>
          <w:szCs w:val="24"/>
          <w:lang w:val="ro-RO"/>
        </w:rPr>
        <w:t xml:space="preserve">Președintele ședinței:      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</w:t>
      </w:r>
      <w:r w:rsidRPr="007E14E2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</w:t>
      </w:r>
    </w:p>
    <w:p w:rsidR="00D6735C" w:rsidRPr="007E14E2" w:rsidRDefault="00D6735C" w:rsidP="00D6735C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E7139D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</w:t>
      </w:r>
    </w:p>
    <w:p w:rsidR="00D6735C" w:rsidRPr="007E14E2" w:rsidRDefault="00D6735C" w:rsidP="00D6735C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7E14E2">
        <w:rPr>
          <w:rFonts w:ascii="Times New Roman" w:hAnsi="Times New Roman"/>
          <w:b/>
          <w:sz w:val="24"/>
          <w:szCs w:val="24"/>
          <w:lang w:val="ro-RO"/>
        </w:rPr>
        <w:t xml:space="preserve">Contrasemnează: </w:t>
      </w:r>
    </w:p>
    <w:p w:rsidR="006123B2" w:rsidRPr="006F3894" w:rsidRDefault="00D6735C" w:rsidP="006F38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7E14E2">
        <w:rPr>
          <w:rFonts w:ascii="Times New Roman" w:hAnsi="Times New Roman"/>
          <w:b/>
          <w:sz w:val="24"/>
          <w:szCs w:val="24"/>
          <w:lang w:val="ro-RO"/>
        </w:rPr>
        <w:t xml:space="preserve">Secretar al Consiliului orășenesc     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Rodica Melnic</w:t>
      </w:r>
      <w:r w:rsidRPr="007E14E2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</w:t>
      </w:r>
    </w:p>
    <w:sectPr w:rsidR="006123B2" w:rsidRPr="006F3894" w:rsidSect="00D6735C">
      <w:pgSz w:w="11906" w:h="16838"/>
      <w:pgMar w:top="284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Roumanian">
    <w:altName w:val="Courier New"/>
    <w:charset w:val="00"/>
    <w:family w:val="auto"/>
    <w:pitch w:val="default"/>
    <w:sig w:usb0="00000000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4050D"/>
    <w:multiLevelType w:val="hybridMultilevel"/>
    <w:tmpl w:val="D7707130"/>
    <w:lvl w:ilvl="0" w:tplc="C0CE1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651B76D9"/>
    <w:multiLevelType w:val="hybridMultilevel"/>
    <w:tmpl w:val="2B7A42EC"/>
    <w:lvl w:ilvl="0" w:tplc="EC0E720C">
      <w:start w:val="1"/>
      <w:numFmt w:val="decimal"/>
      <w:lvlText w:val="%1."/>
      <w:lvlJc w:val="left"/>
      <w:pPr>
        <w:ind w:left="503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D85B95"/>
    <w:multiLevelType w:val="hybridMultilevel"/>
    <w:tmpl w:val="5DBA1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35C"/>
    <w:rsid w:val="00254557"/>
    <w:rsid w:val="006123B2"/>
    <w:rsid w:val="006F3894"/>
    <w:rsid w:val="008C07EA"/>
    <w:rsid w:val="00D6735C"/>
    <w:rsid w:val="00EA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B2"/>
  </w:style>
  <w:style w:type="paragraph" w:styleId="1">
    <w:name w:val="heading 1"/>
    <w:basedOn w:val="a"/>
    <w:next w:val="a"/>
    <w:link w:val="10"/>
    <w:qFormat/>
    <w:rsid w:val="00D6735C"/>
    <w:pPr>
      <w:keepNext/>
      <w:spacing w:after="120" w:line="240" w:lineRule="auto"/>
      <w:outlineLvl w:val="0"/>
    </w:pPr>
    <w:rPr>
      <w:rFonts w:ascii="Times Roumanian" w:eastAsia="Times New Roman" w:hAnsi="Times Roumanian" w:cs="Times New Roman"/>
      <w:b/>
      <w:sz w:val="24"/>
      <w:szCs w:val="2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735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6735C"/>
    <w:rPr>
      <w:rFonts w:ascii="Times Roumanian" w:eastAsia="Times New Roman" w:hAnsi="Times Roumanian" w:cs="Times New Roman"/>
      <w:b/>
      <w:sz w:val="24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D6735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FR2">
    <w:name w:val="FR2"/>
    <w:rsid w:val="00D6735C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/>
    </w:rPr>
  </w:style>
  <w:style w:type="paragraph" w:styleId="a3">
    <w:name w:val="Normal (Web)"/>
    <w:basedOn w:val="a"/>
    <w:uiPriority w:val="99"/>
    <w:semiHidden/>
    <w:unhideWhenUsed/>
    <w:rsid w:val="00D6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6735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uiPriority w:val="22"/>
    <w:qFormat/>
    <w:rsid w:val="00D673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6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517</Words>
  <Characters>2952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Kolea</dc:creator>
  <cp:keywords/>
  <dc:description/>
  <cp:lastModifiedBy>Kolea</cp:lastModifiedBy>
  <cp:revision>7</cp:revision>
  <cp:lastPrinted>2022-11-29T12:36:00Z</cp:lastPrinted>
  <dcterms:created xsi:type="dcterms:W3CDTF">2022-11-29T08:19:00Z</dcterms:created>
  <dcterms:modified xsi:type="dcterms:W3CDTF">2022-11-30T13:58:00Z</dcterms:modified>
</cp:coreProperties>
</file>