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E" w:rsidRPr="005233E2" w:rsidRDefault="005B46EE" w:rsidP="001B62A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0" w:type="auto"/>
        <w:tblInd w:w="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</w:tblGrid>
      <w:tr w:rsidR="001B62A2" w:rsidRPr="00614FDA" w:rsidTr="00315E97">
        <w:tc>
          <w:tcPr>
            <w:tcW w:w="4813" w:type="dxa"/>
          </w:tcPr>
          <w:p w:rsidR="001B62A2" w:rsidRPr="001B62A2" w:rsidRDefault="001B62A2" w:rsidP="00315E97">
            <w:pPr>
              <w:spacing w:after="519"/>
              <w:ind w:right="6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C4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Anexă:</w:t>
            </w:r>
          </w:p>
          <w:p w:rsidR="001B62A2" w:rsidRPr="001B62A2" w:rsidRDefault="001B62A2" w:rsidP="00315E97">
            <w:pPr>
              <w:spacing w:after="519"/>
              <w:ind w:right="6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decizia CO Anenii  Noi </w:t>
            </w:r>
          </w:p>
          <w:p w:rsidR="001B62A2" w:rsidRPr="001B62A2" w:rsidRDefault="001B62A2" w:rsidP="00315E97">
            <w:pPr>
              <w:spacing w:after="519"/>
              <w:ind w:right="6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="0096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nr.3/4</w:t>
            </w:r>
            <w:r w:rsidRPr="001B6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30 iulie 2020</w:t>
            </w:r>
          </w:p>
        </w:tc>
      </w:tr>
    </w:tbl>
    <w:p w:rsidR="001B62A2" w:rsidRPr="00C434E6" w:rsidRDefault="001B62A2" w:rsidP="001B62A2">
      <w:pPr>
        <w:pStyle w:val="a3"/>
        <w:rPr>
          <w:sz w:val="20"/>
          <w:szCs w:val="20"/>
          <w:lang w:val="en-US"/>
        </w:rPr>
      </w:pPr>
    </w:p>
    <w:p w:rsidR="001B62A2" w:rsidRPr="00C434E6" w:rsidRDefault="001B62A2" w:rsidP="001B62A2">
      <w:pPr>
        <w:pStyle w:val="a3"/>
        <w:rPr>
          <w:sz w:val="24"/>
          <w:szCs w:val="24"/>
          <w:lang w:val="en-US"/>
        </w:rPr>
      </w:pPr>
    </w:p>
    <w:p w:rsidR="001B62A2" w:rsidRPr="00975760" w:rsidRDefault="001B62A2" w:rsidP="001B62A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bookmark51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REGULAMENTUL</w:t>
      </w:r>
    </w:p>
    <w:p w:rsidR="001B62A2" w:rsidRPr="00975760" w:rsidRDefault="001B62A2" w:rsidP="001B62A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</w:t>
      </w:r>
      <w:proofErr w:type="gramEnd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amplasare şi funcţionare a unităţilor staţionare </w:t>
      </w:r>
    </w:p>
    <w:p w:rsidR="001B62A2" w:rsidRPr="00975760" w:rsidRDefault="001B62A2" w:rsidP="001B62A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provizorii</w:t>
      </w:r>
      <w:proofErr w:type="gramEnd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 gheretelor în </w:t>
      </w:r>
      <w:bookmarkEnd w:id="0"/>
      <w:r w:rsidRPr="0097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orașul Anenii Noi</w:t>
      </w:r>
    </w:p>
    <w:p w:rsidR="001B62A2" w:rsidRPr="00975760" w:rsidRDefault="001B62A2" w:rsidP="001B62A2">
      <w:pPr>
        <w:keepNext/>
        <w:keepLines/>
        <w:spacing w:after="0" w:line="274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" w:name="bookmark52"/>
    </w:p>
    <w:p w:rsidR="001B62A2" w:rsidRPr="00975760" w:rsidRDefault="001B62A2" w:rsidP="001B62A2">
      <w:pPr>
        <w:keepNext/>
        <w:keepLines/>
        <w:spacing w:after="0" w:line="274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b/>
          <w:sz w:val="24"/>
          <w:szCs w:val="24"/>
          <w:lang w:val="en-US" w:eastAsia="ru-RU"/>
        </w:rPr>
        <w:t>I. Dispoziţii generale</w:t>
      </w:r>
      <w:bookmarkEnd w:id="1"/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Prezentul Regulament stabilește modul de amplasare şi</w:t>
      </w:r>
      <w:r w:rsidR="00E47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funcţionare a gheretelor în orașul Anenii Noi.</w:t>
      </w:r>
      <w:bookmarkStart w:id="2" w:name="bookmark53"/>
      <w:proofErr w:type="gramEnd"/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b/>
          <w:sz w:val="24"/>
          <w:szCs w:val="24"/>
          <w:lang w:val="en-US" w:eastAsia="ru-RU"/>
        </w:rPr>
        <w:t>II. Noţiuni şi condiţii de amplasare şi funcţionare a gheretelor</w:t>
      </w:r>
      <w:bookmarkEnd w:id="2"/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2.1. Ghereta prezintă o construcţie din materiale demontabile fără spaţiu separat pentru păstrarea mărfurilor, cu o suprafaţă ocupată de până la 12 mp (suprafaţa se calculează după dimensiunile exterioare), destinată pentru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loc de lucru.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2.2. Ghereta se amplasează provizoriu, fără fundament capital, fără conectare la reţele (cu excepţia celor electrice şi telefonice), în baza schemei de amplasare eliberată de către Primăria orașului Anenii Noi.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2.3. Este interzisă comasarea sau extinderea gheretelor în pavilioane, cât şi utilizarea ulterioară a pavilioanelor amplasate ilicit sau a gheretelor extinse ilicit.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2.4. Reamplasarea pe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altă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adresă sau evacuarea gheretei cu reamenajarea teritoriului se efectuează în conformitate cu legislația în vigoare, de către şi din contul proprietarului gheretei.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2.5. Se interzice amplasarea gheretelor, cu excepţia punctelor de vânzare a publicaţiilor periodice şi punctelor de vânzare a florilor şi plantelor: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 distanţă </w:t>
      </w:r>
      <w:r w:rsidR="00F17661">
        <w:rPr>
          <w:rFonts w:ascii="Times New Roman" w:hAnsi="Times New Roman" w:cs="Times New Roman"/>
          <w:sz w:val="24"/>
          <w:szCs w:val="24"/>
          <w:lang w:val="en-US" w:eastAsia="ru-RU"/>
        </w:rPr>
        <w:t>nu mai mică de 1</w:t>
      </w: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0,0 m de la bordura străzilor principale (pentru gheretele amplasate pe străzile secundare);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pe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terenurile destinate pentru amenajare, aferente pieţelor şi centrelor comerciale - în toate cazurile;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spaţiile verzi (scuaruri, parcuri, grădini publice), cu excepţia locurilor stabilite în schemele de desfăşurare a comerţului întocmite de gestionarul spațiului verde;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cazul reducerii vizibilităţii semnelor circulaţiei rutiere sau afectării siguranţei traficului rutier;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pe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căile pietonale, în cazul în care amplasamentul şi funcţionalitatea unităţii va putea afecta siguranţa sau crea incomodităţi la libera circulaţie a pietonilor, precum şi va afecta spaţiile verzi şi alveolele pentru pomi;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zonele de protecţie ale reţelelor inginereşti, în lipsa coordonării amplasamentului unităţii cu gestionarii acestora;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 distanţă mai mică de 80 m de instituţiile administraţiei publice locale;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pe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terenurile aferente destinate pentru amenajare şi celor care reduc vizibilitatea unităţilor comerciale staţionare - în toate cazurile;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pe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terenurile aferente staţiilor de aşteptare a transportului urban şi la intrările în trecerile subterane.</w:t>
      </w: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bookmarkStart w:id="3" w:name="bookmark54"/>
      <w:r w:rsidRPr="0097576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III. Modalitatea amplasării gheretelor</w:t>
      </w:r>
      <w:bookmarkEnd w:id="3"/>
    </w:p>
    <w:p w:rsidR="001B62A2" w:rsidRPr="00975760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3.1. Notificarea privind iniţierea activităţii de comerţ pentru gherete se depune la sediul Primăriei Anenii Noi, cu 30 de zile lucrătoare înainte de iniţierea activităţii.</w:t>
      </w:r>
    </w:p>
    <w:p w:rsidR="001B62A2" w:rsidRDefault="001B62A2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3.2. În termen de cel mult 20 zile lucrătoare de la data depunerii notificării</w:t>
      </w:r>
      <w:r w:rsidR="005420CC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arhitectul șef al Primăriei or. Anenii Noi </w:t>
      </w:r>
      <w:proofErr w:type="gramStart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examina schiţa de proiect (pentru gheretele noi), starea gheretei (pentru gheretele existente) în prezenţa beneficiarului, întocmind act de constatare.</w:t>
      </w:r>
    </w:p>
    <w:p w:rsidR="005420CC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3.3 Lista beneficiarilor şchiţa de proiect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fie aprobată prin decizia Consiliuilui orăşenesc Anenii Noi.</w:t>
      </w:r>
    </w:p>
    <w:p w:rsidR="001B62A2" w:rsidRPr="005B46EE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3.4</w:t>
      </w:r>
      <w:r w:rsidR="001B62A2" w:rsidRPr="00302A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În cazul încadrării gheretelor noi în prevederile pct. 2.5. </w:t>
      </w:r>
      <w:proofErr w:type="gramStart"/>
      <w:r w:rsidR="001B62A2" w:rsidRPr="00302A72">
        <w:rPr>
          <w:rFonts w:ascii="Times New Roman" w:hAnsi="Times New Roman" w:cs="Times New Roman"/>
          <w:sz w:val="24"/>
          <w:szCs w:val="24"/>
          <w:lang w:val="en-US" w:eastAsia="ru-RU"/>
        </w:rPr>
        <w:t>al</w:t>
      </w:r>
      <w:proofErr w:type="gramEnd"/>
      <w:r w:rsidR="001B62A2" w:rsidRPr="00302A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prezentelor Cerinţe, Primăria orașului Anenii Noi va aviza schiţa de proiect a gheretei, va elabora şi elibera schema de amplasare a gheretei, cu eliberarea acesteia beneficiarului după achitarea conform unei note</w:t>
      </w:r>
      <w:bookmarkStart w:id="4" w:name="_GoBack"/>
      <w:bookmarkEnd w:id="4"/>
      <w:r w:rsidR="001B62A2" w:rsidRPr="00302A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plată, către bugetul public local a taxelor și plăților stabilite prin lege și deciziile Consiliului orășenesc Anenii Noi.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3.5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În cazul neîncadrării gheretelor noi în prevederile pct. 2.5.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al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prezentelor Cerinţe, Primăria or. Anenii Noi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elibera comerciantului un refuz cu argumentarea motivului refuzului.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3.6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În cazul stabilirii unor neconformităţi (pentru gheretele existente) ce ţin de locul amplasării, aspectul exterior şi interior, reclamă, iluminarea nocturnă, amenajarea terenului adiacent etc., se va înmâna actul de constatare a obiecţiilor. Schema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 eliberată după înlăturarea acestora, confirmată în actul de constatare întocmit în cadrul verificării la faţa locului.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3.7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În schema de amplasare a gheretei vor fi indicate locul amplasării, suprafaţa ocupată, suprafaţa de salubrizare şi cu sintagma evacuării la prima solicitare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APL, conform anexei nr.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1 la prezentul Regulament.</w:t>
      </w:r>
      <w:proofErr w:type="gramEnd"/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3.8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. Schemele de amp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lasare a gheretelor se execută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arhitectul – șef al orașului Anenii Noi.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3.10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Beneficiarul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amplasa ghereta în locul indicat de către arhitectul-șef al Primăriei orașului Anenii Noi.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3.11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Termenul de valabilitate a schemei pentru amplasarea gheretei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 de un an de zile, cu posibilitatea prelungirii tacite a termenului în cazul în care nu va interveni notificarea unei Părți.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3.12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. Pentru gheretele amplasate pe teritoriul pieţelor comerciale schema de amplasare se eliberează de către administraţia pieţei în baza şi conform planului general al pieţei, aprobat în modul stabilit.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3.13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. În cazul amplasamentelor gheretelor existente care nu corespund prevederilor stabilite în pct. 2.5, la expirarea termenului de valabilitate schemelor de amplasare, în baza cărora au fost recepţionate notificările respective, arhitectul – șef al Primăriei orașului Anenii Noi va înainta primarului orașului Anenii Noi propuneri privind evacuarea sau strămutarea acestora.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3.14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. La emiterea dispoziției de strămutare a gheretelor, Primăria orașului Anenii Noi va elabora cu titlu de propunere, scheme noi de amplasare a gheretelor în modul stabilit de Regulament.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3.15</w:t>
      </w:r>
      <w:r w:rsidR="009A7AFB">
        <w:rPr>
          <w:rFonts w:ascii="Times New Roman" w:hAnsi="Times New Roman" w:cs="Times New Roman"/>
          <w:sz w:val="24"/>
          <w:szCs w:val="24"/>
          <w:lang w:val="en-US" w:eastAsia="ru-RU"/>
        </w:rPr>
        <w:t>. Evacuare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gheretelor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 efectuată în conformitate cu actele normative în vigoare.</w:t>
      </w:r>
    </w:p>
    <w:p w:rsidR="001B62A2" w:rsidRPr="00975760" w:rsidRDefault="005420CC" w:rsidP="001B62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3.16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Gheretele </w:t>
      </w:r>
      <w:proofErr w:type="gramStart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ce</w:t>
      </w:r>
      <w:proofErr w:type="gramEnd"/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nu activează mai mult de şase luni, abandonate, nefuncţionale, se evacuează pr</w:t>
      </w:r>
      <w:r w:rsidR="00E47760">
        <w:rPr>
          <w:rFonts w:ascii="Times New Roman" w:hAnsi="Times New Roman" w:cs="Times New Roman"/>
          <w:sz w:val="24"/>
          <w:szCs w:val="24"/>
          <w:lang w:val="en-US" w:eastAsia="ru-RU"/>
        </w:rPr>
        <w:t>in dispoziţia primarului</w:t>
      </w:r>
      <w:r w:rsidR="001B62A2" w:rsidRPr="00975760">
        <w:rPr>
          <w:rFonts w:ascii="Times New Roman" w:hAnsi="Times New Roman" w:cs="Times New Roman"/>
          <w:sz w:val="24"/>
          <w:szCs w:val="24"/>
          <w:lang w:val="en-US" w:eastAsia="ru-RU"/>
        </w:rPr>
        <w:t>, de către şi din contul beneficiarului gheretei, sau de serviciile municipale cu restituirea cheltuielilor suportate în mod de regres din contul beneficiarului.</w:t>
      </w:r>
    </w:p>
    <w:p w:rsidR="00D22866" w:rsidRPr="00975760" w:rsidRDefault="00D22866" w:rsidP="00D22866">
      <w:pPr>
        <w:tabs>
          <w:tab w:val="left" w:leader="underscore" w:pos="2964"/>
          <w:tab w:val="left" w:pos="6794"/>
        </w:tabs>
        <w:spacing w:after="318" w:line="240" w:lineRule="auto"/>
        <w:ind w:left="60" w:right="608"/>
        <w:contextualSpacing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</w:pPr>
    </w:p>
    <w:p w:rsidR="001B62A2" w:rsidRPr="00975760" w:rsidRDefault="001B62A2" w:rsidP="00D22866">
      <w:pPr>
        <w:tabs>
          <w:tab w:val="left" w:leader="underscore" w:pos="2964"/>
          <w:tab w:val="left" w:pos="6794"/>
        </w:tabs>
        <w:spacing w:after="318" w:line="240" w:lineRule="auto"/>
        <w:ind w:left="60" w:right="608"/>
        <w:contextualSpacing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</w:pPr>
    </w:p>
    <w:p w:rsidR="003F29EC" w:rsidRPr="00FD34E5" w:rsidRDefault="003F29EC" w:rsidP="003F2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D34E5">
        <w:rPr>
          <w:rFonts w:ascii="Times New Roman" w:hAnsi="Times New Roman" w:cs="Times New Roman"/>
          <w:sz w:val="24"/>
          <w:szCs w:val="24"/>
          <w:lang w:val="ro-RO"/>
        </w:rPr>
        <w:t xml:space="preserve">Arhitect –şef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FD34E5">
        <w:rPr>
          <w:rFonts w:ascii="Times New Roman" w:hAnsi="Times New Roman" w:cs="Times New Roman"/>
          <w:sz w:val="24"/>
          <w:szCs w:val="24"/>
          <w:lang w:val="ro-RO"/>
        </w:rPr>
        <w:t xml:space="preserve">  Mihai Cociug</w:t>
      </w:r>
    </w:p>
    <w:p w:rsidR="001B62A2" w:rsidRPr="00975760" w:rsidRDefault="001B62A2" w:rsidP="003F29EC">
      <w:pPr>
        <w:tabs>
          <w:tab w:val="left" w:leader="underscore" w:pos="2964"/>
          <w:tab w:val="left" w:pos="6794"/>
        </w:tabs>
        <w:spacing w:after="318" w:line="240" w:lineRule="auto"/>
        <w:ind w:right="608"/>
        <w:contextualSpacing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</w:pPr>
    </w:p>
    <w:p w:rsidR="006343FA" w:rsidRDefault="001B62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760">
        <w:rPr>
          <w:rFonts w:ascii="Times New Roman" w:hAnsi="Times New Roman" w:cs="Times New Roman"/>
          <w:sz w:val="24"/>
          <w:szCs w:val="24"/>
          <w:lang w:val="en-US"/>
        </w:rPr>
        <w:t>Secretara al Consiliului orăşenesc                                         Svetlana Basa</w:t>
      </w:r>
      <w:r w:rsidR="00FA3795">
        <w:rPr>
          <w:rFonts w:ascii="Times New Roman" w:hAnsi="Times New Roman" w:cs="Times New Roman"/>
          <w:sz w:val="24"/>
          <w:szCs w:val="24"/>
          <w:lang w:val="en-US"/>
        </w:rPr>
        <w:t xml:space="preserve">rab </w:t>
      </w:r>
    </w:p>
    <w:p w:rsidR="00FA3795" w:rsidRDefault="00FA3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795" w:rsidRDefault="00FA3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795" w:rsidRDefault="00FA3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795" w:rsidRDefault="00FA3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795" w:rsidRDefault="00FA3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3F3E" w:rsidRPr="00FA3795" w:rsidRDefault="00B93F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Pr="00B34A45" w:rsidRDefault="002600C2" w:rsidP="002600C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B34A45">
        <w:rPr>
          <w:rFonts w:ascii="Times New Roman" w:hAnsi="Times New Roman" w:cs="Times New Roman"/>
          <w:sz w:val="24"/>
          <w:szCs w:val="24"/>
          <w:lang w:val="ro-RO"/>
        </w:rPr>
        <w:t xml:space="preserve">Notă informativă </w:t>
      </w:r>
    </w:p>
    <w:p w:rsidR="002600C2" w:rsidRPr="00B34A45" w:rsidRDefault="002600C2" w:rsidP="0026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B34A45">
        <w:rPr>
          <w:rFonts w:ascii="Times New Roman" w:hAnsi="Times New Roman" w:cs="Times New Roman"/>
          <w:sz w:val="24"/>
          <w:szCs w:val="24"/>
          <w:lang w:val="ro-RO"/>
        </w:rPr>
        <w:t>proiectului de d</w:t>
      </w:r>
      <w:r>
        <w:rPr>
          <w:rFonts w:ascii="Times New Roman" w:hAnsi="Times New Roman" w:cs="Times New Roman"/>
          <w:sz w:val="24"/>
          <w:szCs w:val="24"/>
          <w:lang w:val="ro-RO"/>
        </w:rPr>
        <w:t>ecizie a consiliului orășenesc Anenii Noi nr.3/4</w:t>
      </w:r>
      <w:r w:rsidR="0089379A">
        <w:rPr>
          <w:rFonts w:ascii="Times New Roman" w:hAnsi="Times New Roman" w:cs="Times New Roman"/>
          <w:sz w:val="24"/>
          <w:szCs w:val="24"/>
          <w:lang w:val="ro-RO"/>
        </w:rPr>
        <w:t xml:space="preserve"> din 30</w:t>
      </w:r>
      <w:r w:rsidR="0053429A" w:rsidRPr="00B34A45">
        <w:rPr>
          <w:rFonts w:ascii="Times New Roman" w:hAnsi="Times New Roman" w:cs="Times New Roman"/>
          <w:sz w:val="24"/>
          <w:szCs w:val="24"/>
          <w:lang w:val="ro-RO"/>
        </w:rPr>
        <w:t xml:space="preserve"> iulie 2020 “</w:t>
      </w:r>
      <w:r w:rsidRPr="00B34A45">
        <w:rPr>
          <w:rFonts w:ascii="Times New Roman" w:hAnsi="Times New Roman" w:cs="Times New Roman"/>
          <w:b/>
          <w:sz w:val="24"/>
          <w:szCs w:val="24"/>
          <w:lang w:val="ro-RO"/>
        </w:rPr>
        <w:t>Cu</w:t>
      </w:r>
      <w:r w:rsidR="0053429A" w:rsidRPr="00B34A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privire la aprobarea Regulamentului de a</w:t>
      </w:r>
      <w:r w:rsidR="00B77D3C" w:rsidRPr="00B34A45">
        <w:rPr>
          <w:rFonts w:ascii="Times New Roman" w:hAnsi="Times New Roman" w:cs="Times New Roman"/>
          <w:b/>
          <w:sz w:val="24"/>
          <w:szCs w:val="24"/>
          <w:lang w:val="ro-RO"/>
        </w:rPr>
        <w:t>mplasare şi funcţionare a unităţilor staţionare</w:t>
      </w:r>
      <w:r w:rsidR="000D44E5" w:rsidRPr="00B34A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0182" w:rsidRPr="00B34A45">
        <w:rPr>
          <w:rFonts w:ascii="Times New Roman" w:hAnsi="Times New Roman" w:cs="Times New Roman"/>
          <w:b/>
          <w:sz w:val="24"/>
          <w:szCs w:val="24"/>
          <w:lang w:val="ro-RO"/>
        </w:rPr>
        <w:t>provizorii</w:t>
      </w:r>
      <w:r w:rsidR="00780182" w:rsidRPr="00B34A4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780182" w:rsidRPr="00B34A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gheretelor </w:t>
      </w:r>
      <w:r w:rsidR="00780182" w:rsidRPr="007E55FC">
        <w:rPr>
          <w:rFonts w:ascii="Times New Roman" w:hAnsi="Times New Roman" w:cs="Times New Roman"/>
          <w:b/>
          <w:sz w:val="24"/>
          <w:szCs w:val="24"/>
          <w:lang w:val="ro-RO"/>
        </w:rPr>
        <w:t>în oraşul Anenii Noi</w:t>
      </w:r>
      <w:r w:rsidR="0053429A" w:rsidRPr="00B34A45">
        <w:rPr>
          <w:rFonts w:ascii="Times New Roman" w:hAnsi="Times New Roman" w:cs="Times New Roman"/>
          <w:sz w:val="24"/>
          <w:szCs w:val="24"/>
          <w:lang w:val="ro-RO"/>
        </w:rPr>
        <w:t>“</w:t>
      </w:r>
    </w:p>
    <w:p w:rsidR="002600C2" w:rsidRDefault="002600C2" w:rsidP="0026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600C2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 w:rsidP="002600C2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A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autorului şi a participanţilor la elaborarea proiectului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2600C2" w:rsidRDefault="00780182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Primarul şi architect-şef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Condiţiile ce au impus elaborarea proiectului de act normativ şi finalităţile urmărite:</w:t>
            </w:r>
          </w:p>
          <w:p w:rsidR="002600C2" w:rsidRDefault="002600C2" w:rsidP="00780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 deciziei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elaborat de catre </w:t>
            </w:r>
            <w:r w:rsidR="00780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architect-şef 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tem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eiul Legii 436/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2006 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rivi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administrația publică locală cu modificările şi completările ulterioare; Legea 231/2010 privind comerţul interior;  Legea 93/1998 privind  patenta de întreprinzător; Legea 105/2003 privind protecţia consumatorilor; Legea 100/2017 privind actele normative cu modificările şi completările ulterioare; 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Codul contravenţional al Re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publicii Moldova 218/2008 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Hotărâril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 Guvernului  931/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 „Cu privire la desfăşurarea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comerţului cu amănuntul”; HG nr. 1209/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2007 „Cu privire la prestarea serviciilor de alimentaţie publică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”;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HG nr. 517/</w:t>
            </w:r>
            <w:r w:rsidR="004A06B4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1996 ,,Cu privire la aprobarea Regulilor de funcţionare a reţelei de comerţ ambulant şi a Regulilor de comerţ în pieţele din Republica</w:t>
            </w:r>
            <w:r w:rsidR="004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.Principalele prevederi ale proiectului şi evidenţierea elementelor noi:</w:t>
            </w:r>
          </w:p>
          <w:p w:rsidR="002600C2" w:rsidRDefault="002600C2" w:rsidP="0097012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prezentul proiect se propune </w:t>
            </w:r>
            <w:r w:rsidR="00780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spre aprobare </w:t>
            </w:r>
            <w:r w:rsidR="0097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</w:t>
            </w:r>
            <w:r w:rsidR="0097012E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scopul creării unui mediu favorabil de desfăşurare a activităţii de întreprinzător în cadrul orașului Anenii Noi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Fundamentarea economico-financiară: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Implementarea prezentului proiect  este necesar </w:t>
            </w:r>
            <w:r w:rsidR="0097012E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vederea asigurării liberei concurenţe, protecţiei</w:t>
            </w:r>
            <w:r w:rsidR="0097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7012E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vieţii, sănătăţii, securităţii</w:t>
            </w:r>
            <w:r w:rsidR="0097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7012E" w:rsidRPr="00D2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 intereselor econo</w:t>
            </w:r>
            <w:r w:rsidR="0097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mice şi sociale ale cetăţenilor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 de încorporare a actului în cadrul normativ în vigoare: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  deciziei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încorporează în sistemul actelor normative și nu necesită aprogarea altor decizii.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Avizarea şi consultarea publică a proiectului: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baza celor expuse și în conformitate cu art.32 din Legii nr.100 din 22.12.2017 cu privire la actele normative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600C2" w:rsidRPr="007E55FC" w:rsidRDefault="002600C2" w:rsidP="007E5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Proiectul deciziei 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privire la aprobarea Regulamentului de amplasare şi funcţionare a unităţilor staţionare provizorii-gheretelor 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oraşul Anenii Noi</w:t>
            </w:r>
            <w:r w:rsidR="0097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,proiectul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fost avizat de către instituțiile din subordinea primariei or.Anenii Noi.  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scopul respectării prevederilor Legii nr.239 din 13 noiembrie2013 privind transparența în procesul decizional, proiectul a fost plasat pe pagina web oficială a primariei or.Anenii Noi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www.anenii-noi.com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directoriul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Transparența decizională.</w:t>
            </w:r>
          </w:p>
        </w:tc>
      </w:tr>
      <w:tr w:rsidR="002600C2" w:rsidRPr="007E55FC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Constatările expertizei anticorupție:</w:t>
            </w:r>
          </w:p>
          <w:p w:rsidR="002600C2" w:rsidRPr="007E55FC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temeiul art.35 al Legii nr.100 din 22.12.2017</w:t>
            </w:r>
            <w:r w:rsidR="007E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privire la actele normative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expertiza anticorupție a fost efectuată de către autor. </w:t>
            </w:r>
            <w:r w:rsidRPr="007E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Proiectul nu conține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</w:t>
            </w:r>
            <w:r w:rsidRPr="007E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tări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7E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favoriza corupția.</w:t>
            </w:r>
          </w:p>
        </w:tc>
      </w:tr>
      <w:tr w:rsidR="002600C2" w:rsidRPr="00614FDA" w:rsidTr="002600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Constatările expertizei juridice: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temeiul art.37 al Legii nr.100 din 22.12.2017 cu privire la actele normative, proiectul de decizie a fost expus expertizei juridice de către juristul primariei or.Anenii Noi , care a expertizat actul respectiv și a constatat că corespunde ca structură, conținut și nu contravine legislației.</w:t>
            </w:r>
          </w:p>
          <w:p w:rsidR="002600C2" w:rsidRDefault="002600C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Proiectul deciziei se prezintă comisiei consultative de specialitate pentru avizare și propunerii Consiliului orașenesc  </w:t>
            </w:r>
          </w:p>
        </w:tc>
      </w:tr>
    </w:tbl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</w:p>
    <w:p w:rsidR="002600C2" w:rsidRDefault="002600C2" w:rsidP="002600C2">
      <w:pPr>
        <w:rPr>
          <w:i/>
          <w:sz w:val="20"/>
          <w:szCs w:val="20"/>
          <w:lang w:val="en-US"/>
        </w:rPr>
      </w:pPr>
    </w:p>
    <w:p w:rsidR="002600C2" w:rsidRDefault="002600C2" w:rsidP="002600C2">
      <w:pPr>
        <w:jc w:val="right"/>
        <w:rPr>
          <w:i/>
          <w:lang w:val="en-US"/>
        </w:rPr>
      </w:pPr>
    </w:p>
    <w:p w:rsidR="002600C2" w:rsidRDefault="002600C2" w:rsidP="002600C2">
      <w:pPr>
        <w:jc w:val="right"/>
        <w:rPr>
          <w:i/>
          <w:lang w:val="en-US"/>
        </w:rPr>
      </w:pPr>
    </w:p>
    <w:p w:rsidR="002600C2" w:rsidRDefault="002600C2" w:rsidP="002600C2">
      <w:pPr>
        <w:jc w:val="right"/>
        <w:rPr>
          <w:i/>
          <w:lang w:val="en-US"/>
        </w:rPr>
      </w:pPr>
    </w:p>
    <w:p w:rsidR="002600C2" w:rsidRDefault="002600C2" w:rsidP="002600C2">
      <w:pPr>
        <w:jc w:val="right"/>
        <w:rPr>
          <w:i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AVIZ</w:t>
      </w:r>
    </w:p>
    <w:p w:rsidR="002600C2" w:rsidRDefault="002600C2" w:rsidP="002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expertiză anticorupție l</w:t>
      </w:r>
      <w:r w:rsidR="00A81A24">
        <w:rPr>
          <w:rFonts w:ascii="Times New Roman" w:hAnsi="Times New Roman" w:cs="Times New Roman"/>
          <w:sz w:val="24"/>
          <w:szCs w:val="24"/>
          <w:lang w:val="en-US"/>
        </w:rPr>
        <w:t>a proiectul de decizie nr. 3/4</w:t>
      </w:r>
    </w:p>
    <w:p w:rsidR="002600C2" w:rsidRDefault="002600C2" w:rsidP="002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A24" w:rsidRPr="00B93F3E" w:rsidRDefault="00A81A24" w:rsidP="00A8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55FC">
        <w:rPr>
          <w:rFonts w:ascii="Times New Roman" w:hAnsi="Times New Roman" w:cs="Times New Roman"/>
          <w:b/>
          <w:sz w:val="24"/>
          <w:szCs w:val="24"/>
          <w:lang w:val="en-US"/>
        </w:rPr>
        <w:t>Cu privire la aprobarea Regulamentului de amplasare şi funcţionare a unităţilor staţionare provizorii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E55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gheretelor </w:t>
      </w:r>
      <w:r w:rsidRPr="007E55FC">
        <w:rPr>
          <w:rFonts w:ascii="Times New Roman" w:hAnsi="Times New Roman" w:cs="Times New Roman"/>
          <w:b/>
          <w:sz w:val="24"/>
          <w:szCs w:val="24"/>
          <w:lang w:val="ro-RO"/>
        </w:rPr>
        <w:t>în oraşul Anenii Noi</w:t>
      </w:r>
    </w:p>
    <w:p w:rsidR="002600C2" w:rsidRPr="00A81A24" w:rsidRDefault="002600C2" w:rsidP="00260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conformitate cu prevederile art.35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 Legii nr.100 din 22.12.2017 cu privire la actele normative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întru asigurarea imparțialității și legalității proiectelor de decizii.</w:t>
      </w: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Pr="000A2CB4" w:rsidRDefault="002600C2" w:rsidP="0026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</w:t>
      </w:r>
      <w:r w:rsidR="00C434E6">
        <w:rPr>
          <w:rFonts w:ascii="Times New Roman" w:hAnsi="Times New Roman" w:cs="Times New Roman"/>
          <w:sz w:val="24"/>
          <w:szCs w:val="24"/>
          <w:lang w:val="ro-RO"/>
        </w:rPr>
        <w:t>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garantează pe proprie răspundere, că proiectul de </w:t>
      </w:r>
      <w:r>
        <w:rPr>
          <w:rFonts w:ascii="Times New Roman" w:hAnsi="Times New Roman" w:cs="Times New Roman"/>
          <w:sz w:val="24"/>
          <w:szCs w:val="24"/>
          <w:lang w:val="en-US"/>
        </w:rPr>
        <w:t>decizie  nr.</w:t>
      </w:r>
      <w:r w:rsidR="000A2CB4">
        <w:rPr>
          <w:rFonts w:ascii="Times New Roman" w:hAnsi="Times New Roman" w:cs="Times New Roman"/>
          <w:sz w:val="24"/>
          <w:szCs w:val="24"/>
          <w:lang w:val="en-US"/>
        </w:rPr>
        <w:t xml:space="preserve"> 3/4</w:t>
      </w:r>
    </w:p>
    <w:p w:rsidR="00A81A24" w:rsidRDefault="00A81A24" w:rsidP="0026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1A24" w:rsidRPr="00B93F3E" w:rsidRDefault="00A81A24" w:rsidP="00A8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55FC">
        <w:rPr>
          <w:rFonts w:ascii="Times New Roman" w:hAnsi="Times New Roman" w:cs="Times New Roman"/>
          <w:b/>
          <w:sz w:val="24"/>
          <w:szCs w:val="24"/>
          <w:lang w:val="en-US"/>
        </w:rPr>
        <w:t>Cu privire la aprobarea Regulamentului de amplasare şi funcţionare a unităţilor staţionare provizorii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E55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gheretelor </w:t>
      </w:r>
      <w:r w:rsidRPr="007E55FC">
        <w:rPr>
          <w:rFonts w:ascii="Times New Roman" w:hAnsi="Times New Roman" w:cs="Times New Roman"/>
          <w:b/>
          <w:sz w:val="24"/>
          <w:szCs w:val="24"/>
          <w:lang w:val="ro-RO"/>
        </w:rPr>
        <w:t>în oraşul Anenii Noi</w:t>
      </w:r>
    </w:p>
    <w:p w:rsidR="00A81A24" w:rsidRPr="00A81A24" w:rsidRDefault="00A81A24" w:rsidP="0026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0C2" w:rsidRPr="00A81A24" w:rsidRDefault="002600C2" w:rsidP="00A8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nu conține elemente de corupție.</w:t>
      </w: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 de proiect:</w:t>
      </w: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Default="00A81A24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Maţarin A., primar    ____________________</w:t>
      </w:r>
    </w:p>
    <w:p w:rsidR="00A81A24" w:rsidRDefault="00A81A24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1A24" w:rsidRDefault="00A81A24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Cociug M., architect-şef   _________________</w:t>
      </w: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Default="002600C2" w:rsidP="002600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00C2" w:rsidRDefault="002600C2" w:rsidP="0026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Default="002600C2" w:rsidP="002600C2">
      <w:pPr>
        <w:spacing w:after="0"/>
        <w:rPr>
          <w:sz w:val="24"/>
          <w:szCs w:val="24"/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rPr>
          <w:lang w:val="en-US"/>
        </w:rPr>
      </w:pPr>
    </w:p>
    <w:p w:rsidR="002600C2" w:rsidRDefault="002600C2" w:rsidP="002600C2">
      <w:pPr>
        <w:spacing w:after="0" w:line="240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0C2" w:rsidRPr="001E4900" w:rsidRDefault="002600C2">
      <w:pPr>
        <w:rPr>
          <w:sz w:val="24"/>
          <w:szCs w:val="24"/>
          <w:lang w:val="en-US"/>
        </w:rPr>
      </w:pPr>
    </w:p>
    <w:sectPr w:rsidR="002600C2" w:rsidRPr="001E4900" w:rsidSect="001D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CFA"/>
    <w:multiLevelType w:val="multilevel"/>
    <w:tmpl w:val="32869D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F007C"/>
    <w:rsid w:val="00064533"/>
    <w:rsid w:val="000A2CB4"/>
    <w:rsid w:val="000D44E5"/>
    <w:rsid w:val="000E5399"/>
    <w:rsid w:val="000F5FC5"/>
    <w:rsid w:val="00112921"/>
    <w:rsid w:val="001553CF"/>
    <w:rsid w:val="00155E24"/>
    <w:rsid w:val="00172C9F"/>
    <w:rsid w:val="001B62A2"/>
    <w:rsid w:val="001D3F59"/>
    <w:rsid w:val="001E4900"/>
    <w:rsid w:val="0024744E"/>
    <w:rsid w:val="002600C2"/>
    <w:rsid w:val="00297CA0"/>
    <w:rsid w:val="00302A72"/>
    <w:rsid w:val="0030495D"/>
    <w:rsid w:val="00374426"/>
    <w:rsid w:val="00390D9D"/>
    <w:rsid w:val="003A18CF"/>
    <w:rsid w:val="003A7BF0"/>
    <w:rsid w:val="003E6A56"/>
    <w:rsid w:val="003F29EC"/>
    <w:rsid w:val="00467DDC"/>
    <w:rsid w:val="004A06B4"/>
    <w:rsid w:val="005233E2"/>
    <w:rsid w:val="0053429A"/>
    <w:rsid w:val="00540776"/>
    <w:rsid w:val="005420CC"/>
    <w:rsid w:val="00574F7D"/>
    <w:rsid w:val="00597F5A"/>
    <w:rsid w:val="005B46EE"/>
    <w:rsid w:val="005B76E3"/>
    <w:rsid w:val="005F0DCD"/>
    <w:rsid w:val="00614FDA"/>
    <w:rsid w:val="006343FA"/>
    <w:rsid w:val="006372ED"/>
    <w:rsid w:val="00643010"/>
    <w:rsid w:val="00722316"/>
    <w:rsid w:val="0075041A"/>
    <w:rsid w:val="00780182"/>
    <w:rsid w:val="00797E65"/>
    <w:rsid w:val="007C0C68"/>
    <w:rsid w:val="007D7E0E"/>
    <w:rsid w:val="007E55FC"/>
    <w:rsid w:val="007F7456"/>
    <w:rsid w:val="00882D16"/>
    <w:rsid w:val="0089379A"/>
    <w:rsid w:val="008C565A"/>
    <w:rsid w:val="00907F17"/>
    <w:rsid w:val="00967E0E"/>
    <w:rsid w:val="0097012E"/>
    <w:rsid w:val="00975669"/>
    <w:rsid w:val="00975760"/>
    <w:rsid w:val="009A7AFB"/>
    <w:rsid w:val="009B3E63"/>
    <w:rsid w:val="009C0CA0"/>
    <w:rsid w:val="009C755E"/>
    <w:rsid w:val="00A12037"/>
    <w:rsid w:val="00A81A24"/>
    <w:rsid w:val="00AB572E"/>
    <w:rsid w:val="00AD1066"/>
    <w:rsid w:val="00B03ACA"/>
    <w:rsid w:val="00B34A45"/>
    <w:rsid w:val="00B77D3C"/>
    <w:rsid w:val="00B93C66"/>
    <w:rsid w:val="00B93F3E"/>
    <w:rsid w:val="00BD7016"/>
    <w:rsid w:val="00C05D61"/>
    <w:rsid w:val="00C1144D"/>
    <w:rsid w:val="00C20658"/>
    <w:rsid w:val="00C42DB2"/>
    <w:rsid w:val="00C434E6"/>
    <w:rsid w:val="00C47325"/>
    <w:rsid w:val="00C60C3B"/>
    <w:rsid w:val="00D22866"/>
    <w:rsid w:val="00D37B1E"/>
    <w:rsid w:val="00D97C1A"/>
    <w:rsid w:val="00DA4F35"/>
    <w:rsid w:val="00DD1D47"/>
    <w:rsid w:val="00DF007C"/>
    <w:rsid w:val="00E47760"/>
    <w:rsid w:val="00E74966"/>
    <w:rsid w:val="00ED4518"/>
    <w:rsid w:val="00EE2C27"/>
    <w:rsid w:val="00EF6C6D"/>
    <w:rsid w:val="00F17661"/>
    <w:rsid w:val="00F31591"/>
    <w:rsid w:val="00F41C15"/>
    <w:rsid w:val="00F50E32"/>
    <w:rsid w:val="00F63B72"/>
    <w:rsid w:val="00F67746"/>
    <w:rsid w:val="00F83D83"/>
    <w:rsid w:val="00FA3795"/>
    <w:rsid w:val="00FE5AD4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6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2286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0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enii-no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56DA-258A-4E44-A997-A5F4B7B7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User</cp:lastModifiedBy>
  <cp:revision>66</cp:revision>
  <cp:lastPrinted>2021-03-01T09:40:00Z</cp:lastPrinted>
  <dcterms:created xsi:type="dcterms:W3CDTF">2020-06-22T05:30:00Z</dcterms:created>
  <dcterms:modified xsi:type="dcterms:W3CDTF">2021-03-01T09:40:00Z</dcterms:modified>
</cp:coreProperties>
</file>